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比</w:t>
      </w:r>
      <w:bookmarkStart w:id="0" w:name="_GoBack"/>
      <w:bookmarkEnd w:id="0"/>
      <w:r>
        <w:rPr>
          <w:rFonts w:hint="eastAsia" w:ascii="黑体" w:hAnsi="黑体" w:eastAsia="黑体" w:cs="黑体"/>
          <w:color w:val="auto"/>
          <w:sz w:val="32"/>
          <w:szCs w:val="32"/>
          <w:shd w:val="clear" w:color="auto" w:fill="FFFFFF"/>
        </w:rPr>
        <w:t>选申请书</w:t>
      </w:r>
    </w:p>
    <w:p>
      <w:pPr>
        <w:pStyle w:val="9"/>
        <w:keepNext w:val="0"/>
        <w:keepLines w:val="0"/>
        <w:pageBreakBefore w:val="0"/>
        <w:kinsoku/>
        <w:wordWrap/>
        <w:overflowPunct/>
        <w:topLinePunct w:val="0"/>
        <w:autoSpaceDE/>
        <w:autoSpaceDN/>
        <w:bidi w:val="0"/>
        <w:adjustRightInd/>
        <w:snapToGrid/>
        <w:spacing w:before="0" w:beforeAutospacing="0" w:after="0" w:afterAutospacing="0" w:line="420" w:lineRule="exact"/>
        <w:jc w:val="both"/>
        <w:textAlignment w:val="auto"/>
        <w:rPr>
          <w:color w:val="auto"/>
        </w:rPr>
      </w:pPr>
      <w:r>
        <w:rPr>
          <w:rFonts w:hint="eastAsia"/>
          <w:color w:val="auto"/>
          <w:u w:val="single"/>
        </w:rPr>
        <w:t>三明城发物业有限公司</w:t>
      </w:r>
      <w:r>
        <w:rPr>
          <w:rFonts w:hint="eastAsia"/>
          <w:color w:val="auto"/>
        </w:rPr>
        <w:t>（比选人）：</w:t>
      </w:r>
    </w:p>
    <w:p>
      <w:pPr>
        <w:pStyle w:val="9"/>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20" w:lineRule="exact"/>
        <w:ind w:firstLine="480" w:firstLineChars="200"/>
        <w:jc w:val="both"/>
        <w:textAlignment w:val="auto"/>
        <w:rPr>
          <w:rFonts w:hint="eastAsia"/>
          <w:color w:val="auto"/>
        </w:rPr>
      </w:pPr>
      <w:r>
        <w:rPr>
          <w:rFonts w:hint="eastAsia"/>
          <w:color w:val="auto"/>
        </w:rPr>
        <w:t>经研究并充分理解</w:t>
      </w:r>
      <w:r>
        <w:rPr>
          <w:rFonts w:hint="eastAsia"/>
          <w:color w:val="auto"/>
          <w:u w:val="single"/>
          <w:lang w:eastAsia="zh-CN"/>
        </w:rPr>
        <w:t>三明城发物业电梯维保</w:t>
      </w:r>
      <w:r>
        <w:rPr>
          <w:rFonts w:hint="eastAsia"/>
          <w:color w:val="auto"/>
        </w:rPr>
        <w:t>比选书的各项条款及要求后，我公司对你单位的</w:t>
      </w:r>
      <w:r>
        <w:rPr>
          <w:rFonts w:hint="eastAsia"/>
          <w:color w:val="auto"/>
          <w:u w:val="single"/>
          <w:lang w:eastAsia="zh-CN"/>
        </w:rPr>
        <w:t>三明城发物业电梯维保</w:t>
      </w:r>
      <w:r>
        <w:rPr>
          <w:rFonts w:hint="eastAsia"/>
          <w:color w:val="auto"/>
        </w:rPr>
        <w:t>比选提出申请。我方将接受并遵守比选书所规定的各项条款。</w:t>
      </w:r>
    </w:p>
    <w:p>
      <w:pPr>
        <w:pStyle w:val="9"/>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20" w:lineRule="exact"/>
        <w:ind w:firstLine="480" w:firstLineChars="200"/>
        <w:jc w:val="both"/>
        <w:textAlignment w:val="auto"/>
        <w:rPr>
          <w:rFonts w:hint="eastAsia"/>
          <w:color w:val="auto"/>
        </w:rPr>
      </w:pPr>
      <w:r>
        <w:rPr>
          <w:rFonts w:hint="eastAsia" w:hAnsi="宋体" w:cs="宋体"/>
          <w:color w:val="auto"/>
        </w:rPr>
        <w:t>如我方中</w:t>
      </w:r>
      <w:r>
        <w:rPr>
          <w:rFonts w:hint="eastAsia" w:hAnsi="宋体" w:cs="宋体"/>
          <w:color w:val="auto"/>
          <w:lang w:eastAsia="zh-CN"/>
        </w:rPr>
        <w:t>选</w:t>
      </w:r>
      <w:r>
        <w:rPr>
          <w:rFonts w:hint="eastAsia"/>
          <w:color w:val="auto"/>
        </w:rPr>
        <w:t>：</w:t>
      </w:r>
    </w:p>
    <w:p>
      <w:pPr>
        <w:pStyle w:val="50"/>
        <w:keepNext w:val="0"/>
        <w:keepLines w:val="0"/>
        <w:pageBreakBefore w:val="0"/>
        <w:kinsoku/>
        <w:wordWrap/>
        <w:overflowPunct/>
        <w:topLinePunct w:val="0"/>
        <w:bidi w:val="0"/>
        <w:snapToGrid/>
        <w:spacing w:line="420" w:lineRule="exact"/>
        <w:ind w:firstLine="480"/>
        <w:textAlignment w:val="auto"/>
        <w:rPr>
          <w:rFonts w:hint="eastAsia" w:hAnsi="宋体" w:eastAsia="宋体" w:cs="宋体"/>
          <w:color w:val="auto"/>
          <w:kern w:val="2"/>
          <w:lang w:eastAsia="zh-CN"/>
        </w:rPr>
      </w:pPr>
      <w:r>
        <w:rPr>
          <w:rFonts w:hint="eastAsia" w:hAnsi="宋体" w:cs="宋体"/>
          <w:color w:val="auto"/>
          <w:kern w:val="2"/>
        </w:rPr>
        <w:t>（1）</w:t>
      </w:r>
      <w:r>
        <w:rPr>
          <w:rFonts w:hint="eastAsia" w:hAnsi="宋体" w:cs="宋体"/>
          <w:color w:val="auto"/>
        </w:rPr>
        <w:t>我方承诺在收到中选通知书后，在中选通知书规定的期限内与</w:t>
      </w:r>
      <w:r>
        <w:rPr>
          <w:rFonts w:hint="eastAsia" w:hAnsi="宋体" w:cs="宋体"/>
          <w:color w:val="auto"/>
          <w:lang w:eastAsia="zh-CN"/>
        </w:rPr>
        <w:t>比选人</w:t>
      </w:r>
      <w:r>
        <w:rPr>
          <w:rFonts w:hint="eastAsia" w:hAnsi="宋体" w:cs="宋体"/>
          <w:color w:val="auto"/>
        </w:rPr>
        <w:t>签订合同</w:t>
      </w:r>
      <w:r>
        <w:rPr>
          <w:rFonts w:hint="eastAsia" w:hAnsi="宋体" w:cs="宋体"/>
          <w:color w:val="auto"/>
          <w:lang w:eastAsia="zh-CN"/>
        </w:rPr>
        <w:t>；</w:t>
      </w:r>
    </w:p>
    <w:p>
      <w:pPr>
        <w:pStyle w:val="50"/>
        <w:keepNext w:val="0"/>
        <w:keepLines w:val="0"/>
        <w:pageBreakBefore w:val="0"/>
        <w:kinsoku/>
        <w:wordWrap/>
        <w:overflowPunct/>
        <w:topLinePunct w:val="0"/>
        <w:bidi w:val="0"/>
        <w:snapToGrid/>
        <w:spacing w:line="420" w:lineRule="exact"/>
        <w:ind w:firstLine="480"/>
        <w:textAlignment w:val="auto"/>
        <w:rPr>
          <w:rFonts w:hint="eastAsia" w:hAnsi="宋体" w:eastAsia="宋体" w:cs="宋体"/>
          <w:color w:val="auto"/>
          <w:kern w:val="2"/>
          <w:lang w:eastAsia="zh-CN"/>
        </w:rPr>
      </w:pPr>
      <w:r>
        <w:rPr>
          <w:rFonts w:hint="eastAsia" w:hAnsi="宋体" w:cs="宋体"/>
          <w:color w:val="auto"/>
        </w:rPr>
        <w:t>（2）</w:t>
      </w:r>
      <w:r>
        <w:rPr>
          <w:rFonts w:hint="eastAsia" w:hAnsi="宋体" w:cs="宋体"/>
          <w:color w:val="auto"/>
          <w:kern w:val="2"/>
        </w:rPr>
        <w:t>我方承诺按照比选文件规定及要求</w:t>
      </w:r>
      <w:r>
        <w:rPr>
          <w:rFonts w:hint="eastAsia" w:hAnsi="宋体" w:cs="宋体"/>
          <w:color w:val="auto"/>
        </w:rPr>
        <w:t>签订合同</w:t>
      </w:r>
      <w:r>
        <w:rPr>
          <w:rFonts w:hint="eastAsia" w:hAnsi="宋体" w:cs="宋体"/>
          <w:color w:val="auto"/>
          <w:kern w:val="2"/>
          <w:lang w:eastAsia="zh-CN"/>
        </w:rPr>
        <w:t>；</w:t>
      </w:r>
    </w:p>
    <w:p>
      <w:pPr>
        <w:pStyle w:val="50"/>
        <w:keepNext w:val="0"/>
        <w:keepLines w:val="0"/>
        <w:pageBreakBefore w:val="0"/>
        <w:kinsoku/>
        <w:wordWrap/>
        <w:overflowPunct/>
        <w:topLinePunct w:val="0"/>
        <w:bidi w:val="0"/>
        <w:snapToGrid/>
        <w:spacing w:line="420" w:lineRule="exact"/>
        <w:ind w:firstLine="480"/>
        <w:textAlignment w:val="auto"/>
        <w:rPr>
          <w:rFonts w:hint="eastAsia"/>
          <w:color w:val="auto"/>
        </w:rPr>
      </w:pPr>
      <w:r>
        <w:rPr>
          <w:rFonts w:hint="eastAsia" w:hAnsi="宋体" w:cs="宋体"/>
          <w:color w:val="auto"/>
          <w:kern w:val="2"/>
          <w:lang w:eastAsia="zh-CN"/>
        </w:rPr>
        <w:t>（</w:t>
      </w:r>
      <w:r>
        <w:rPr>
          <w:rFonts w:hint="eastAsia" w:hAnsi="宋体" w:cs="宋体"/>
          <w:color w:val="auto"/>
          <w:kern w:val="2"/>
          <w:lang w:val="en-US" w:eastAsia="zh-CN"/>
        </w:rPr>
        <w:t>3</w:t>
      </w:r>
      <w:r>
        <w:rPr>
          <w:rFonts w:hint="eastAsia" w:hAnsi="宋体" w:cs="宋体"/>
          <w:color w:val="auto"/>
          <w:kern w:val="2"/>
          <w:lang w:eastAsia="zh-CN"/>
        </w:rPr>
        <w:t>）</w:t>
      </w:r>
      <w:r>
        <w:rPr>
          <w:rFonts w:hint="eastAsia"/>
          <w:color w:val="auto"/>
        </w:rPr>
        <w:t>我单位</w:t>
      </w:r>
      <w:r>
        <w:rPr>
          <w:rFonts w:hint="eastAsia"/>
          <w:color w:val="auto"/>
          <w:lang w:eastAsia="zh-CN"/>
        </w:rPr>
        <w:t>所</w:t>
      </w:r>
      <w:r>
        <w:rPr>
          <w:rFonts w:hint="eastAsia"/>
          <w:color w:val="auto"/>
        </w:rPr>
        <w:t>提交信息材料、比选材料、证明材料真实可靠，并对其真实性承担相应的法律责任。</w:t>
      </w:r>
    </w:p>
    <w:p>
      <w:pPr>
        <w:pStyle w:val="9"/>
        <w:keepNext w:val="0"/>
        <w:keepLines w:val="0"/>
        <w:pageBreakBefore w:val="0"/>
        <w:kinsoku/>
        <w:wordWrap/>
        <w:overflowPunct/>
        <w:topLinePunct w:val="0"/>
        <w:autoSpaceDE/>
        <w:autoSpaceDN/>
        <w:bidi w:val="0"/>
        <w:adjustRightInd/>
        <w:snapToGrid/>
        <w:spacing w:before="0" w:beforeAutospacing="0" w:after="0" w:afterAutospacing="0" w:line="420" w:lineRule="exact"/>
        <w:jc w:val="both"/>
        <w:textAlignment w:val="auto"/>
        <w:rPr>
          <w:rFonts w:hint="eastAsia" w:ascii="宋体" w:hAnsi="宋体" w:eastAsia="宋体" w:cs="宋体"/>
          <w:b/>
          <w:color w:val="auto"/>
          <w:sz w:val="24"/>
          <w:highlight w:val="none"/>
        </w:rPr>
      </w:pPr>
    </w:p>
    <w:p>
      <w:pPr>
        <w:pStyle w:val="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632"/>
        <w:jc w:val="both"/>
        <w:textAlignment w:val="auto"/>
        <w:rPr>
          <w:rFonts w:ascii="宋体" w:hAnsi="宋体" w:eastAsia="宋体" w:cs="宋体"/>
          <w:b/>
          <w:color w:val="auto"/>
          <w:sz w:val="24"/>
          <w:highlight w:val="none"/>
        </w:rPr>
      </w:pPr>
      <w:r>
        <w:rPr>
          <w:rFonts w:hint="eastAsia" w:ascii="宋体" w:hAnsi="宋体" w:eastAsia="宋体" w:cs="宋体"/>
          <w:b/>
          <w:color w:val="auto"/>
          <w:sz w:val="24"/>
          <w:highlight w:val="none"/>
        </w:rPr>
        <w:t>注：</w:t>
      </w:r>
    </w:p>
    <w:p>
      <w:pPr>
        <w:pStyle w:val="4"/>
        <w:keepNext w:val="0"/>
        <w:keepLines w:val="0"/>
        <w:pageBreakBefore w:val="0"/>
        <w:widowControl w:val="0"/>
        <w:numPr>
          <w:ilvl w:val="0"/>
          <w:numId w:val="2"/>
        </w:numPr>
        <w:tabs>
          <w:tab w:val="left" w:pos="1000"/>
        </w:tabs>
        <w:kinsoku/>
        <w:wordWrap/>
        <w:overflowPunct/>
        <w:topLinePunct w:val="0"/>
        <w:autoSpaceDE/>
        <w:autoSpaceDN/>
        <w:bidi w:val="0"/>
        <w:adjustRightInd/>
        <w:snapToGrid/>
        <w:spacing w:line="420" w:lineRule="exact"/>
        <w:ind w:firstLine="422" w:firstLineChars="200"/>
        <w:textAlignment w:val="auto"/>
        <w:rPr>
          <w:rFonts w:hint="eastAsia" w:ascii="宋体" w:hAnsi="宋体" w:eastAsia="宋体" w:cs="宋体"/>
          <w:b/>
          <w:color w:val="auto"/>
          <w:szCs w:val="21"/>
          <w:highlight w:val="none"/>
          <w:u w:val="none"/>
          <w:lang w:eastAsia="zh-CN"/>
        </w:rPr>
      </w:pPr>
      <w:r>
        <w:rPr>
          <w:rFonts w:hint="eastAsia" w:ascii="宋体" w:hAnsi="宋体" w:eastAsia="宋体" w:cs="宋体"/>
          <w:b/>
          <w:color w:val="auto"/>
          <w:szCs w:val="21"/>
          <w:highlight w:val="none"/>
          <w:u w:val="double"/>
        </w:rPr>
        <w:t>须附上营业执照复印件</w:t>
      </w:r>
      <w:r>
        <w:rPr>
          <w:rFonts w:hint="eastAsia" w:ascii="宋体" w:hAnsi="宋体" w:eastAsia="宋体" w:cs="宋体"/>
          <w:b/>
          <w:color w:val="auto"/>
          <w:szCs w:val="21"/>
          <w:highlight w:val="none"/>
          <w:u w:val="none"/>
          <w:lang w:eastAsia="zh-CN"/>
        </w:rPr>
        <w:t>；</w:t>
      </w:r>
    </w:p>
    <w:p>
      <w:pPr>
        <w:pStyle w:val="4"/>
        <w:keepNext w:val="0"/>
        <w:keepLines w:val="0"/>
        <w:pageBreakBefore w:val="0"/>
        <w:widowControl w:val="0"/>
        <w:numPr>
          <w:ilvl w:val="0"/>
          <w:numId w:val="2"/>
        </w:numPr>
        <w:tabs>
          <w:tab w:val="left" w:pos="1000"/>
        </w:tabs>
        <w:kinsoku/>
        <w:wordWrap/>
        <w:overflowPunct/>
        <w:topLinePunct w:val="0"/>
        <w:autoSpaceDE/>
        <w:autoSpaceDN/>
        <w:bidi w:val="0"/>
        <w:adjustRightInd/>
        <w:snapToGrid/>
        <w:spacing w:line="420" w:lineRule="exact"/>
        <w:ind w:firstLine="422" w:firstLineChars="200"/>
        <w:textAlignment w:val="auto"/>
        <w:rPr>
          <w:rFonts w:hint="eastAsia" w:ascii="宋体" w:hAnsi="宋体" w:eastAsia="宋体" w:cs="宋体"/>
          <w:b/>
          <w:color w:val="auto"/>
          <w:szCs w:val="21"/>
          <w:u w:val="double"/>
        </w:rPr>
      </w:pPr>
      <w:r>
        <w:rPr>
          <w:rFonts w:hint="eastAsia" w:ascii="宋体" w:hAnsi="宋体" w:eastAsia="宋体" w:cs="宋体"/>
          <w:b/>
          <w:color w:val="auto"/>
          <w:szCs w:val="21"/>
          <w:u w:val="double"/>
        </w:rPr>
        <w:t>比选申请人应具备中华人民共和国特种设备生产许可证，且曳引驱动乘客电梯</w:t>
      </w:r>
      <w:r>
        <w:rPr>
          <w:rFonts w:hint="eastAsia" w:ascii="宋体" w:hAnsi="宋体" w:eastAsia="宋体" w:cs="宋体"/>
          <w:b/>
          <w:color w:val="auto"/>
          <w:szCs w:val="21"/>
          <w:u w:val="double"/>
          <w:lang w:eastAsia="zh-CN"/>
        </w:rPr>
        <w:t>（</w:t>
      </w:r>
      <w:r>
        <w:rPr>
          <w:rFonts w:hint="eastAsia" w:ascii="宋体" w:hAnsi="宋体" w:eastAsia="宋体" w:cs="宋体"/>
          <w:b/>
          <w:color w:val="auto"/>
          <w:szCs w:val="21"/>
          <w:u w:val="double"/>
        </w:rPr>
        <w:t>含消防电梯）许可级别为B级及以上</w:t>
      </w:r>
      <w:r>
        <w:rPr>
          <w:rFonts w:hint="eastAsia" w:ascii="宋体" w:hAnsi="宋体" w:eastAsia="宋体" w:cs="宋体"/>
          <w:b/>
          <w:color w:val="auto"/>
          <w:szCs w:val="21"/>
          <w:u w:val="none"/>
        </w:rPr>
        <w:t>；</w:t>
      </w:r>
    </w:p>
    <w:p>
      <w:pPr>
        <w:pStyle w:val="4"/>
        <w:keepNext w:val="0"/>
        <w:keepLines w:val="0"/>
        <w:pageBreakBefore w:val="0"/>
        <w:widowControl w:val="0"/>
        <w:numPr>
          <w:ilvl w:val="0"/>
          <w:numId w:val="2"/>
        </w:numPr>
        <w:tabs>
          <w:tab w:val="left" w:pos="1000"/>
        </w:tabs>
        <w:kinsoku/>
        <w:wordWrap/>
        <w:overflowPunct/>
        <w:topLinePunct w:val="0"/>
        <w:autoSpaceDE/>
        <w:autoSpaceDN/>
        <w:bidi w:val="0"/>
        <w:adjustRightInd/>
        <w:snapToGrid/>
        <w:spacing w:line="420" w:lineRule="exact"/>
        <w:ind w:firstLine="422" w:firstLineChars="200"/>
        <w:textAlignment w:val="auto"/>
        <w:rPr>
          <w:rFonts w:hint="eastAsia" w:ascii="宋体" w:hAnsi="宋体" w:eastAsia="宋体" w:cs="宋体"/>
          <w:b/>
          <w:color w:val="auto"/>
          <w:szCs w:val="21"/>
          <w:u w:val="none"/>
        </w:rPr>
      </w:pPr>
      <w:r>
        <w:rPr>
          <w:rFonts w:hint="eastAsia" w:ascii="宋体" w:hAnsi="宋体" w:eastAsia="宋体" w:cs="宋体"/>
          <w:b/>
          <w:color w:val="auto"/>
          <w:szCs w:val="21"/>
          <w:u w:val="double"/>
        </w:rPr>
        <w:t>比选申请人应提供市场监督管理局2021年度电梯维保单位质量信用等级评价B级及以上证明材料</w:t>
      </w:r>
      <w:r>
        <w:rPr>
          <w:rFonts w:hint="eastAsia" w:ascii="宋体" w:hAnsi="宋体" w:eastAsia="宋体" w:cs="宋体"/>
          <w:b/>
          <w:color w:val="auto"/>
          <w:szCs w:val="21"/>
          <w:u w:val="none"/>
        </w:rPr>
        <w:t>；</w:t>
      </w:r>
    </w:p>
    <w:p>
      <w:pPr>
        <w:pStyle w:val="4"/>
        <w:keepNext w:val="0"/>
        <w:keepLines w:val="0"/>
        <w:pageBreakBefore w:val="0"/>
        <w:widowControl w:val="0"/>
        <w:numPr>
          <w:ilvl w:val="0"/>
          <w:numId w:val="2"/>
        </w:numPr>
        <w:tabs>
          <w:tab w:val="left" w:pos="1000"/>
        </w:tabs>
        <w:kinsoku/>
        <w:wordWrap/>
        <w:overflowPunct/>
        <w:topLinePunct w:val="0"/>
        <w:autoSpaceDE/>
        <w:autoSpaceDN/>
        <w:bidi w:val="0"/>
        <w:adjustRightInd/>
        <w:snapToGrid/>
        <w:spacing w:line="420" w:lineRule="exact"/>
        <w:ind w:firstLine="422" w:firstLineChars="200"/>
        <w:textAlignment w:val="auto"/>
        <w:rPr>
          <w:rFonts w:hint="eastAsia" w:ascii="宋体" w:hAnsi="宋体" w:eastAsia="宋体" w:cs="宋体"/>
          <w:b/>
          <w:color w:val="auto"/>
          <w:szCs w:val="21"/>
          <w:u w:val="none"/>
        </w:rPr>
      </w:pPr>
      <w:r>
        <w:rPr>
          <w:rFonts w:hint="eastAsia" w:ascii="宋体" w:hAnsi="宋体" w:eastAsia="宋体" w:cs="宋体"/>
          <w:b/>
          <w:color w:val="auto"/>
          <w:szCs w:val="21"/>
          <w:u w:val="double"/>
        </w:rPr>
        <w:t>比选申请人须提供市场监督管理局维修保养备案证明</w:t>
      </w:r>
      <w:r>
        <w:rPr>
          <w:rFonts w:hint="eastAsia" w:ascii="宋体" w:hAnsi="宋体" w:eastAsia="宋体" w:cs="宋体"/>
          <w:b/>
          <w:color w:val="auto"/>
          <w:szCs w:val="21"/>
          <w:u w:val="double"/>
          <w:lang w:eastAsia="zh-CN"/>
        </w:rPr>
        <w:t>（</w:t>
      </w:r>
      <w:r>
        <w:rPr>
          <w:rFonts w:hint="eastAsia" w:ascii="宋体" w:hAnsi="宋体" w:eastAsia="宋体" w:cs="宋体"/>
          <w:b/>
          <w:color w:val="auto"/>
          <w:szCs w:val="21"/>
          <w:u w:val="double"/>
        </w:rPr>
        <w:t>在比选截止期之前的三个月内</w:t>
      </w:r>
      <w:r>
        <w:rPr>
          <w:rFonts w:hint="eastAsia" w:ascii="宋体" w:hAnsi="宋体" w:eastAsia="宋体" w:cs="宋体"/>
          <w:b/>
          <w:color w:val="auto"/>
          <w:szCs w:val="21"/>
          <w:u w:val="double"/>
          <w:lang w:eastAsia="zh-CN"/>
        </w:rPr>
        <w:t>发布的电梯维保单位基本情况暨告知汇总表）</w:t>
      </w:r>
      <w:r>
        <w:rPr>
          <w:rFonts w:hint="eastAsia" w:ascii="宋体" w:hAnsi="宋体" w:eastAsia="宋体" w:cs="宋体"/>
          <w:b/>
          <w:color w:val="auto"/>
          <w:szCs w:val="21"/>
          <w:u w:val="none"/>
        </w:rPr>
        <w:t>；</w:t>
      </w:r>
    </w:p>
    <w:p>
      <w:pPr>
        <w:pStyle w:val="4"/>
        <w:keepNext w:val="0"/>
        <w:keepLines w:val="0"/>
        <w:pageBreakBefore w:val="0"/>
        <w:widowControl w:val="0"/>
        <w:numPr>
          <w:ilvl w:val="0"/>
          <w:numId w:val="2"/>
        </w:numPr>
        <w:tabs>
          <w:tab w:val="left" w:pos="1000"/>
        </w:tabs>
        <w:kinsoku/>
        <w:wordWrap/>
        <w:overflowPunct/>
        <w:topLinePunct w:val="0"/>
        <w:autoSpaceDE/>
        <w:autoSpaceDN/>
        <w:bidi w:val="0"/>
        <w:adjustRightInd/>
        <w:snapToGrid/>
        <w:spacing w:line="420" w:lineRule="exact"/>
        <w:ind w:firstLine="422" w:firstLineChars="200"/>
        <w:textAlignment w:val="auto"/>
        <w:rPr>
          <w:rFonts w:hint="eastAsia" w:ascii="宋体" w:hAnsi="宋体" w:eastAsia="宋体" w:cs="宋体"/>
          <w:b/>
          <w:color w:val="auto"/>
          <w:szCs w:val="21"/>
          <w:u w:val="none"/>
        </w:rPr>
      </w:pPr>
      <w:r>
        <w:rPr>
          <w:rFonts w:hint="eastAsia" w:ascii="宋体" w:hAnsi="宋体" w:eastAsia="宋体" w:cs="宋体"/>
          <w:b/>
          <w:color w:val="auto"/>
          <w:szCs w:val="21"/>
          <w:u w:val="double"/>
        </w:rPr>
        <w:t>比选申请人或其现任法定代表人没有被列入全国失信被执行人名单</w:t>
      </w:r>
      <w:r>
        <w:rPr>
          <w:rFonts w:hint="eastAsia" w:ascii="宋体" w:hAnsi="宋体" w:eastAsia="宋体" w:cs="宋体"/>
          <w:b/>
          <w:color w:val="auto"/>
          <w:szCs w:val="21"/>
          <w:u w:val="double"/>
          <w:lang w:eastAsia="zh-CN"/>
        </w:rPr>
        <w:t>（提供截图证明）</w:t>
      </w:r>
      <w:r>
        <w:rPr>
          <w:rFonts w:hint="eastAsia" w:ascii="宋体" w:hAnsi="宋体" w:eastAsia="宋体" w:cs="宋体"/>
          <w:b/>
          <w:color w:val="auto"/>
          <w:szCs w:val="21"/>
          <w:u w:val="none"/>
          <w:lang w:eastAsia="zh-CN"/>
        </w:rPr>
        <w:t>；</w:t>
      </w:r>
    </w:p>
    <w:p>
      <w:pPr>
        <w:pStyle w:val="4"/>
        <w:keepNext w:val="0"/>
        <w:keepLines w:val="0"/>
        <w:pageBreakBefore w:val="0"/>
        <w:widowControl w:val="0"/>
        <w:numPr>
          <w:ilvl w:val="0"/>
          <w:numId w:val="2"/>
        </w:numPr>
        <w:tabs>
          <w:tab w:val="left" w:pos="1000"/>
        </w:tabs>
        <w:kinsoku/>
        <w:wordWrap/>
        <w:overflowPunct/>
        <w:topLinePunct w:val="0"/>
        <w:autoSpaceDE/>
        <w:autoSpaceDN/>
        <w:bidi w:val="0"/>
        <w:adjustRightInd/>
        <w:snapToGrid/>
        <w:spacing w:line="420" w:lineRule="exact"/>
        <w:ind w:firstLine="422" w:firstLineChars="200"/>
        <w:textAlignment w:val="auto"/>
        <w:rPr>
          <w:rFonts w:hint="eastAsia" w:ascii="宋体" w:hAnsi="宋体" w:eastAsia="宋体" w:cs="宋体"/>
          <w:b/>
          <w:color w:val="auto"/>
          <w:szCs w:val="21"/>
          <w:u w:val="none"/>
        </w:rPr>
      </w:pPr>
      <w:r>
        <w:rPr>
          <w:rFonts w:hint="eastAsia" w:ascii="宋体" w:hAnsi="宋体" w:eastAsia="宋体" w:cs="宋体"/>
          <w:b/>
          <w:color w:val="auto"/>
          <w:szCs w:val="21"/>
          <w:u w:val="double"/>
        </w:rPr>
        <w:t>上述所有复印件均须加盖比选申请人公章</w:t>
      </w:r>
      <w:r>
        <w:rPr>
          <w:rFonts w:hint="eastAsia" w:ascii="宋体" w:hAnsi="宋体" w:eastAsia="宋体" w:cs="宋体"/>
          <w:b/>
          <w:color w:val="auto"/>
          <w:szCs w:val="21"/>
          <w:u w:val="none"/>
        </w:rPr>
        <w:t>；</w:t>
      </w:r>
    </w:p>
    <w:p>
      <w:pPr>
        <w:pStyle w:val="4"/>
        <w:keepNext w:val="0"/>
        <w:keepLines w:val="0"/>
        <w:pageBreakBefore w:val="0"/>
        <w:widowControl w:val="0"/>
        <w:numPr>
          <w:ilvl w:val="0"/>
          <w:numId w:val="2"/>
        </w:numPr>
        <w:tabs>
          <w:tab w:val="left" w:pos="1000"/>
        </w:tabs>
        <w:kinsoku/>
        <w:wordWrap/>
        <w:overflowPunct/>
        <w:topLinePunct w:val="0"/>
        <w:autoSpaceDE/>
        <w:autoSpaceDN/>
        <w:bidi w:val="0"/>
        <w:adjustRightInd/>
        <w:snapToGrid/>
        <w:spacing w:line="420" w:lineRule="exact"/>
        <w:ind w:firstLine="422" w:firstLineChars="200"/>
        <w:textAlignment w:val="auto"/>
        <w:rPr>
          <w:rFonts w:hint="eastAsia" w:ascii="宋体" w:hAnsi="宋体" w:eastAsia="宋体" w:cs="宋体"/>
          <w:b/>
          <w:color w:val="auto"/>
          <w:szCs w:val="21"/>
          <w:u w:val="none"/>
        </w:rPr>
      </w:pPr>
      <w:r>
        <w:rPr>
          <w:rFonts w:hint="eastAsia" w:ascii="宋体" w:hAnsi="宋体" w:eastAsia="宋体" w:cs="宋体"/>
          <w:b/>
          <w:color w:val="auto"/>
          <w:szCs w:val="21"/>
          <w:u w:val="double"/>
        </w:rPr>
        <w:t>上述各类证书发生变更的，应办理完变更手续方可参加比选，并以发证机关核准的变更为准；否则为证书无效进行评定</w:t>
      </w:r>
      <w:r>
        <w:rPr>
          <w:rFonts w:hint="eastAsia" w:ascii="宋体" w:hAnsi="宋体" w:eastAsia="宋体" w:cs="宋体"/>
          <w:b/>
          <w:color w:val="auto"/>
          <w:szCs w:val="21"/>
          <w:u w:val="none"/>
        </w:rPr>
        <w:t>。</w:t>
      </w:r>
    </w:p>
    <w:p>
      <w:pPr>
        <w:pStyle w:val="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640"/>
        <w:jc w:val="both"/>
        <w:textAlignment w:val="auto"/>
        <w:rPr>
          <w:rFonts w:hint="eastAsia"/>
          <w:color w:val="auto"/>
        </w:rPr>
      </w:pPr>
    </w:p>
    <w:p>
      <w:pPr>
        <w:pStyle w:val="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640"/>
        <w:jc w:val="both"/>
        <w:textAlignment w:val="auto"/>
        <w:rPr>
          <w:color w:val="auto"/>
        </w:rPr>
      </w:pPr>
      <w:r>
        <w:rPr>
          <w:rFonts w:hint="eastAsia"/>
          <w:color w:val="auto"/>
        </w:rPr>
        <w:t>联系人：                        </w:t>
      </w:r>
    </w:p>
    <w:p>
      <w:pPr>
        <w:pStyle w:val="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640"/>
        <w:jc w:val="both"/>
        <w:textAlignment w:val="auto"/>
        <w:rPr>
          <w:rFonts w:hint="eastAsia"/>
          <w:color w:val="auto"/>
        </w:rPr>
      </w:pPr>
      <w:r>
        <w:rPr>
          <w:rFonts w:hint="eastAsia"/>
          <w:color w:val="auto"/>
        </w:rPr>
        <w:t>联系电话：</w:t>
      </w:r>
    </w:p>
    <w:p>
      <w:pPr>
        <w:pStyle w:val="9"/>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640"/>
        <w:jc w:val="both"/>
        <w:textAlignment w:val="auto"/>
        <w:rPr>
          <w:rFonts w:hint="eastAsia"/>
          <w:color w:val="auto"/>
        </w:rPr>
      </w:pPr>
      <w:r>
        <w:rPr>
          <w:rFonts w:hint="eastAsia"/>
          <w:color w:val="auto"/>
        </w:rPr>
        <w:t>联系地址：</w:t>
      </w:r>
    </w:p>
    <w:p>
      <w:pPr>
        <w:pStyle w:val="9"/>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640"/>
        <w:jc w:val="both"/>
        <w:textAlignment w:val="auto"/>
        <w:rPr>
          <w:rFonts w:hint="eastAsia"/>
          <w:color w:val="auto"/>
        </w:rPr>
      </w:pPr>
    </w:p>
    <w:p>
      <w:pPr>
        <w:pStyle w:val="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640"/>
        <w:jc w:val="center"/>
        <w:textAlignment w:val="auto"/>
        <w:rPr>
          <w:color w:val="auto"/>
        </w:rPr>
      </w:pPr>
      <w:r>
        <w:rPr>
          <w:rFonts w:hint="eastAsia"/>
          <w:color w:val="auto"/>
          <w:lang w:val="en-US" w:eastAsia="zh-CN"/>
        </w:rPr>
        <w:t xml:space="preserve">                     </w:t>
      </w:r>
      <w:r>
        <w:rPr>
          <w:rFonts w:hint="eastAsia"/>
          <w:color w:val="auto"/>
        </w:rPr>
        <w:t>比选申请人：</w:t>
      </w:r>
      <w:r>
        <w:rPr>
          <w:rFonts w:hint="eastAsia"/>
          <w:color w:val="auto"/>
          <w:lang w:val="en-US" w:eastAsia="zh-CN"/>
        </w:rPr>
        <w:t xml:space="preserve">   （</w:t>
      </w:r>
      <w:r>
        <w:rPr>
          <w:rFonts w:hint="eastAsia"/>
          <w:color w:val="auto"/>
        </w:rPr>
        <w:t>盖比选申请人公章）</w:t>
      </w:r>
    </w:p>
    <w:p>
      <w:pPr>
        <w:pStyle w:val="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640"/>
        <w:jc w:val="center"/>
        <w:textAlignment w:val="auto"/>
        <w:rPr>
          <w:rFonts w:hint="default" w:ascii="黑体" w:hAnsi="黑体" w:eastAsia="黑体" w:cs="黑体"/>
          <w:color w:val="auto"/>
          <w:sz w:val="32"/>
          <w:szCs w:val="32"/>
          <w:shd w:val="clear" w:color="auto" w:fill="FFFFFF"/>
          <w:lang w:val="en-US" w:eastAsia="zh-CN"/>
        </w:rPr>
      </w:pPr>
      <w:r>
        <w:rPr>
          <w:rFonts w:hint="eastAsia"/>
          <w:color w:val="auto"/>
          <w:lang w:val="en-US" w:eastAsia="zh-CN"/>
        </w:rPr>
        <w:t xml:space="preserve">                  </w:t>
      </w:r>
      <w:r>
        <w:rPr>
          <w:rFonts w:hint="eastAsia"/>
          <w:color w:val="auto"/>
        </w:rPr>
        <w:t>日</w:t>
      </w:r>
      <w:r>
        <w:rPr>
          <w:rFonts w:hint="eastAsia"/>
          <w:color w:val="auto"/>
          <w:lang w:val="en-US" w:eastAsia="zh-CN"/>
        </w:rPr>
        <w:t xml:space="preserve">  </w:t>
      </w:r>
      <w:r>
        <w:rPr>
          <w:rFonts w:hint="eastAsia"/>
          <w:color w:val="auto"/>
        </w:rPr>
        <w:t>期：    年  月  日</w:t>
      </w:r>
    </w:p>
    <w:p>
      <w:pPr>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br w:type="page"/>
      </w:r>
    </w:p>
    <w:p>
      <w:pPr>
        <w:pStyle w:val="9"/>
        <w:shd w:val="clear" w:color="auto" w:fill="FFFFFF"/>
        <w:spacing w:beforeLines="50" w:beforeAutospacing="0" w:afterLines="50" w:afterAutospacing="0" w:line="580" w:lineRule="atLeast"/>
        <w:jc w:val="center"/>
        <w:rPr>
          <w:rFonts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授 权 委 托 书</w:t>
      </w:r>
    </w:p>
    <w:p>
      <w:pPr>
        <w:pStyle w:val="9"/>
        <w:shd w:val="clear" w:color="auto" w:fill="FFFFFF"/>
        <w:spacing w:before="0" w:beforeAutospacing="0" w:after="0" w:afterAutospacing="0" w:line="560" w:lineRule="atLeast"/>
        <w:ind w:firstLine="640"/>
        <w:rPr>
          <w:color w:val="auto"/>
          <w:shd w:val="clear" w:color="auto" w:fill="FFFFFF"/>
        </w:rPr>
      </w:pPr>
    </w:p>
    <w:p>
      <w:pPr>
        <w:pStyle w:val="9"/>
        <w:spacing w:before="0" w:beforeAutospacing="0" w:after="0" w:afterAutospacing="0" w:line="480" w:lineRule="auto"/>
        <w:ind w:firstLine="640"/>
        <w:jc w:val="both"/>
        <w:rPr>
          <w:color w:val="auto"/>
        </w:rPr>
      </w:pPr>
      <w:r>
        <w:rPr>
          <w:rFonts w:hint="eastAsia"/>
          <w:color w:val="auto"/>
        </w:rPr>
        <w:t>现授权委托我司职工</w:t>
      </w:r>
      <w:r>
        <w:rPr>
          <w:rFonts w:hint="eastAsia"/>
          <w:color w:val="auto"/>
          <w:u w:val="single"/>
          <w:lang w:val="en-US" w:eastAsia="zh-CN"/>
        </w:rPr>
        <w:t xml:space="preserve">  </w:t>
      </w:r>
      <w:r>
        <w:rPr>
          <w:rFonts w:hint="eastAsia"/>
          <w:b/>
          <w:bCs/>
          <w:i w:val="0"/>
          <w:iCs w:val="0"/>
          <w:color w:val="auto"/>
          <w:u w:val="single"/>
        </w:rPr>
        <w:t>（姓名）</w:t>
      </w:r>
      <w:r>
        <w:rPr>
          <w:rFonts w:hint="eastAsia"/>
          <w:b/>
          <w:bCs/>
          <w:i w:val="0"/>
          <w:iCs w:val="0"/>
          <w:color w:val="auto"/>
          <w:u w:val="single"/>
          <w:lang w:val="en-US" w:eastAsia="zh-CN"/>
        </w:rPr>
        <w:t xml:space="preserve">    </w:t>
      </w:r>
      <w:r>
        <w:rPr>
          <w:rFonts w:hint="eastAsia"/>
          <w:b/>
          <w:bCs/>
          <w:color w:val="auto"/>
        </w:rPr>
        <w:t>、</w:t>
      </w:r>
      <w:r>
        <w:rPr>
          <w:rFonts w:hint="eastAsia"/>
          <w:b/>
          <w:bCs/>
          <w:color w:val="auto"/>
          <w:lang w:val="en-US" w:eastAsia="zh-CN"/>
        </w:rPr>
        <w:t xml:space="preserve"> </w:t>
      </w:r>
      <w:r>
        <w:rPr>
          <w:rFonts w:hint="eastAsia"/>
          <w:b/>
          <w:bCs/>
          <w:color w:val="auto"/>
          <w:u w:val="single"/>
          <w:lang w:val="en-US" w:eastAsia="zh-CN"/>
        </w:rPr>
        <w:t xml:space="preserve">  </w:t>
      </w:r>
      <w:r>
        <w:rPr>
          <w:rFonts w:hint="eastAsia"/>
          <w:b/>
          <w:bCs/>
          <w:i w:val="0"/>
          <w:iCs w:val="0"/>
          <w:color w:val="auto"/>
          <w:u w:val="single"/>
        </w:rPr>
        <w:t>（身份证号码）</w:t>
      </w:r>
      <w:r>
        <w:rPr>
          <w:rFonts w:hint="eastAsia"/>
          <w:b/>
          <w:bCs/>
          <w:i w:val="0"/>
          <w:iCs w:val="0"/>
          <w:color w:val="auto"/>
          <w:u w:val="single"/>
          <w:lang w:val="en-US" w:eastAsia="zh-CN"/>
        </w:rPr>
        <w:t xml:space="preserve">   </w:t>
      </w:r>
      <w:r>
        <w:rPr>
          <w:rFonts w:hint="eastAsia"/>
          <w:color w:val="auto"/>
        </w:rPr>
        <w:t>为我公司全权代理人，以本公司名义参加</w:t>
      </w:r>
      <w:r>
        <w:rPr>
          <w:rFonts w:hint="eastAsia"/>
          <w:color w:val="auto"/>
          <w:u w:val="single"/>
          <w:lang w:eastAsia="zh-CN"/>
        </w:rPr>
        <w:t>三明城发物业电梯维保</w:t>
      </w:r>
      <w:r>
        <w:rPr>
          <w:rFonts w:hint="eastAsia"/>
          <w:color w:val="auto"/>
        </w:rPr>
        <w:t>比选活动。代理人在比选过程中所签署的一切文件和处理与之相关的一切事务，我司均予以承认。</w:t>
      </w:r>
    </w:p>
    <w:p>
      <w:pPr>
        <w:pStyle w:val="9"/>
        <w:spacing w:before="0" w:beforeAutospacing="0" w:after="0" w:afterAutospacing="0" w:line="480" w:lineRule="auto"/>
        <w:ind w:firstLine="640"/>
        <w:jc w:val="both"/>
        <w:rPr>
          <w:color w:val="auto"/>
        </w:rPr>
      </w:pPr>
      <w:r>
        <w:rPr>
          <w:rFonts w:hint="eastAsia"/>
          <w:color w:val="auto"/>
        </w:rPr>
        <w:t> </w:t>
      </w:r>
    </w:p>
    <w:p>
      <w:pPr>
        <w:pStyle w:val="9"/>
        <w:spacing w:before="0" w:beforeAutospacing="0" w:after="0" w:afterAutospacing="0" w:line="480" w:lineRule="auto"/>
        <w:ind w:firstLine="640"/>
        <w:jc w:val="both"/>
        <w:rPr>
          <w:color w:val="auto"/>
        </w:rPr>
      </w:pPr>
      <w:r>
        <w:rPr>
          <w:rFonts w:hint="eastAsia"/>
          <w:color w:val="auto"/>
        </w:rPr>
        <w:t>附：委托代理人身份证复印件</w:t>
      </w:r>
    </w:p>
    <w:p>
      <w:pPr>
        <w:pStyle w:val="9"/>
        <w:spacing w:before="0" w:beforeAutospacing="0" w:after="0" w:afterAutospacing="0" w:line="480" w:lineRule="auto"/>
        <w:ind w:firstLine="640"/>
        <w:jc w:val="both"/>
        <w:rPr>
          <w:color w:val="auto"/>
        </w:rPr>
      </w:pPr>
    </w:p>
    <w:p>
      <w:pPr>
        <w:pStyle w:val="9"/>
        <w:spacing w:before="0" w:beforeAutospacing="0" w:after="0" w:afterAutospacing="0" w:line="480" w:lineRule="auto"/>
        <w:ind w:firstLine="640"/>
        <w:jc w:val="both"/>
        <w:rPr>
          <w:color w:val="auto"/>
        </w:rPr>
      </w:pPr>
    </w:p>
    <w:p>
      <w:pPr>
        <w:pStyle w:val="9"/>
        <w:spacing w:before="0" w:beforeAutospacing="0" w:after="0" w:afterAutospacing="0" w:line="480" w:lineRule="auto"/>
        <w:ind w:firstLine="640"/>
        <w:jc w:val="both"/>
        <w:rPr>
          <w:color w:val="auto"/>
        </w:rPr>
      </w:pPr>
    </w:p>
    <w:p>
      <w:pPr>
        <w:pStyle w:val="9"/>
        <w:spacing w:before="0" w:beforeAutospacing="0" w:after="0" w:afterAutospacing="0" w:line="480" w:lineRule="auto"/>
        <w:ind w:firstLine="640"/>
        <w:jc w:val="center"/>
        <w:rPr>
          <w:color w:val="auto"/>
        </w:rPr>
      </w:pPr>
      <w:r>
        <w:rPr>
          <w:rFonts w:hint="eastAsia"/>
          <w:color w:val="auto"/>
        </w:rPr>
        <w:t xml:space="preserve">        </w:t>
      </w:r>
      <w:r>
        <w:rPr>
          <w:rFonts w:hint="eastAsia"/>
          <w:color w:val="auto"/>
          <w:lang w:val="en-US" w:eastAsia="zh-CN"/>
        </w:rPr>
        <w:t xml:space="preserve">        </w:t>
      </w:r>
      <w:r>
        <w:rPr>
          <w:rFonts w:hint="eastAsia"/>
          <w:color w:val="auto"/>
        </w:rPr>
        <w:t xml:space="preserve">比选申请人：       </w:t>
      </w:r>
      <w:r>
        <w:rPr>
          <w:rFonts w:hint="eastAsia"/>
          <w:color w:val="auto"/>
          <w:lang w:eastAsia="zh-CN"/>
        </w:rPr>
        <w:t>（</w:t>
      </w:r>
      <w:r>
        <w:rPr>
          <w:rFonts w:hint="eastAsia"/>
          <w:color w:val="auto"/>
        </w:rPr>
        <w:t>盖比选申请人公章</w:t>
      </w:r>
      <w:r>
        <w:rPr>
          <w:rFonts w:hint="eastAsia"/>
          <w:color w:val="auto"/>
          <w:lang w:eastAsia="zh-CN"/>
        </w:rPr>
        <w:t>）</w:t>
      </w:r>
    </w:p>
    <w:p>
      <w:pPr>
        <w:pStyle w:val="9"/>
        <w:spacing w:before="0" w:beforeAutospacing="0" w:after="0" w:afterAutospacing="0" w:line="480" w:lineRule="auto"/>
        <w:ind w:firstLine="640"/>
        <w:jc w:val="center"/>
        <w:rPr>
          <w:color w:val="auto"/>
        </w:rPr>
      </w:pPr>
      <w:r>
        <w:rPr>
          <w:rFonts w:hint="eastAsia"/>
          <w:color w:val="auto"/>
          <w:lang w:val="en-US" w:eastAsia="zh-CN"/>
        </w:rPr>
        <w:t xml:space="preserve">       </w:t>
      </w:r>
      <w:r>
        <w:rPr>
          <w:rFonts w:hint="eastAsia"/>
          <w:color w:val="auto"/>
        </w:rPr>
        <w:t>法定代表人：   （签字或盖章）</w:t>
      </w:r>
    </w:p>
    <w:p>
      <w:pPr>
        <w:pStyle w:val="9"/>
        <w:spacing w:before="0" w:beforeAutospacing="0" w:after="0" w:afterAutospacing="0" w:line="480" w:lineRule="auto"/>
        <w:ind w:firstLine="640"/>
        <w:jc w:val="center"/>
        <w:rPr>
          <w:color w:val="auto"/>
        </w:rPr>
      </w:pPr>
      <w:r>
        <w:rPr>
          <w:rFonts w:hint="eastAsia"/>
          <w:color w:val="auto"/>
          <w:lang w:val="en-US" w:eastAsia="zh-CN"/>
        </w:rPr>
        <w:t xml:space="preserve">      </w:t>
      </w:r>
      <w:r>
        <w:rPr>
          <w:rFonts w:hint="eastAsia"/>
          <w:color w:val="auto"/>
        </w:rPr>
        <w:t>授权委托人：       （签字）</w:t>
      </w:r>
    </w:p>
    <w:p>
      <w:pPr>
        <w:pStyle w:val="9"/>
        <w:spacing w:before="0" w:beforeAutospacing="0" w:after="0" w:afterAutospacing="0" w:line="480" w:lineRule="auto"/>
        <w:ind w:firstLine="640"/>
        <w:jc w:val="center"/>
        <w:rPr>
          <w:color w:val="auto"/>
        </w:rPr>
      </w:pPr>
      <w:r>
        <w:rPr>
          <w:rFonts w:hint="eastAsia"/>
          <w:color w:val="auto"/>
          <w:lang w:val="en-US" w:eastAsia="zh-CN"/>
        </w:rPr>
        <w:t xml:space="preserve">   </w:t>
      </w:r>
      <w:r>
        <w:rPr>
          <w:rFonts w:hint="eastAsia"/>
          <w:color w:val="auto"/>
        </w:rPr>
        <w:t>日期：   年  月  日</w:t>
      </w:r>
    </w:p>
    <w:p>
      <w:pPr>
        <w:widowControl/>
        <w:jc w:val="left"/>
        <w:rPr>
          <w:rFonts w:ascii="宋体" w:hAnsi="宋体" w:eastAsia="宋体" w:cs="宋体"/>
          <w:b/>
          <w:bCs w:val="0"/>
          <w:color w:val="auto"/>
          <w:sz w:val="20"/>
          <w:szCs w:val="20"/>
        </w:rPr>
      </w:pPr>
      <w:r>
        <w:rPr>
          <w:color w:val="auto"/>
        </w:rPr>
        <w:br w:type="page"/>
      </w:r>
    </w:p>
    <w:p>
      <w:pPr>
        <w:pStyle w:val="30"/>
        <w:keepNext w:val="0"/>
        <w:keepLines w:val="0"/>
        <w:pageBreakBefore w:val="0"/>
        <w:tabs>
          <w:tab w:val="left" w:pos="0"/>
          <w:tab w:val="left" w:pos="567"/>
          <w:tab w:val="left" w:pos="993"/>
          <w:tab w:val="left" w:pos="1134"/>
        </w:tabs>
        <w:kinsoku/>
        <w:wordWrap/>
        <w:overflowPunct/>
        <w:topLinePunct w:val="0"/>
        <w:autoSpaceDE/>
        <w:autoSpaceDN/>
        <w:bidi w:val="0"/>
        <w:snapToGrid w:val="0"/>
        <w:spacing w:line="440" w:lineRule="exact"/>
        <w:jc w:val="center"/>
        <w:rPr>
          <w:rFonts w:hint="eastAsia" w:ascii="黑体" w:hAnsi="黑体" w:eastAsia="黑体" w:cs="黑体"/>
          <w:color w:val="auto"/>
          <w:kern w:val="0"/>
          <w:sz w:val="32"/>
          <w:szCs w:val="32"/>
          <w:shd w:val="clear" w:color="auto" w:fill="FFFFFF"/>
          <w:lang w:val="en-US" w:eastAsia="zh-CN" w:bidi="ar-SA"/>
        </w:rPr>
      </w:pPr>
      <w:r>
        <w:rPr>
          <w:rFonts w:hint="eastAsia" w:ascii="黑体" w:hAnsi="黑体" w:eastAsia="黑体" w:cs="黑体"/>
          <w:color w:val="auto"/>
          <w:kern w:val="0"/>
          <w:sz w:val="32"/>
          <w:szCs w:val="32"/>
          <w:u w:val="single"/>
          <w:shd w:val="clear" w:color="auto" w:fill="FFFFFF"/>
          <w:lang w:val="en-US" w:eastAsia="zh-CN" w:bidi="ar-SA"/>
        </w:rPr>
        <w:t>三明城发物业电梯维保</w:t>
      </w:r>
      <w:r>
        <w:rPr>
          <w:rFonts w:hint="eastAsia" w:ascii="黑体" w:hAnsi="黑体" w:eastAsia="黑体" w:cs="黑体"/>
          <w:color w:val="auto"/>
          <w:kern w:val="0"/>
          <w:sz w:val="32"/>
          <w:szCs w:val="32"/>
          <w:shd w:val="clear" w:color="auto" w:fill="FFFFFF"/>
          <w:lang w:val="en-US" w:eastAsia="zh-CN" w:bidi="ar-SA"/>
        </w:rPr>
        <w:t xml:space="preserve">报价函 </w:t>
      </w:r>
    </w:p>
    <w:p>
      <w:pPr>
        <w:pStyle w:val="30"/>
        <w:keepNext w:val="0"/>
        <w:keepLines w:val="0"/>
        <w:pageBreakBefore w:val="0"/>
        <w:tabs>
          <w:tab w:val="left" w:pos="0"/>
          <w:tab w:val="left" w:pos="567"/>
          <w:tab w:val="left" w:pos="993"/>
          <w:tab w:val="left" w:pos="1134"/>
        </w:tabs>
        <w:kinsoku/>
        <w:wordWrap/>
        <w:overflowPunct/>
        <w:topLinePunct w:val="0"/>
        <w:autoSpaceDE/>
        <w:autoSpaceDN/>
        <w:bidi w:val="0"/>
        <w:snapToGrid w:val="0"/>
        <w:spacing w:line="440" w:lineRule="exact"/>
        <w:jc w:val="center"/>
        <w:rPr>
          <w:rFonts w:hint="eastAsia" w:ascii="黑体" w:hAnsi="黑体" w:eastAsia="黑体" w:cs="黑体"/>
          <w:b/>
          <w:bCs/>
          <w:color w:val="auto"/>
          <w:kern w:val="0"/>
          <w:sz w:val="32"/>
          <w:szCs w:val="32"/>
          <w:shd w:val="clear" w:color="auto" w:fill="FFFFFF"/>
          <w:lang w:val="en-US" w:eastAsia="zh-CN" w:bidi="ar-SA"/>
        </w:rPr>
      </w:pPr>
    </w:p>
    <w:tbl>
      <w:tblPr>
        <w:tblStyle w:val="10"/>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5"/>
        <w:gridCol w:w="900"/>
        <w:gridCol w:w="1487"/>
        <w:gridCol w:w="1275"/>
        <w:gridCol w:w="738"/>
        <w:gridCol w:w="737"/>
        <w:gridCol w:w="745"/>
        <w:gridCol w:w="980"/>
        <w:gridCol w:w="1538"/>
        <w:gridCol w:w="10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电梯原始数</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项目名称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电梯品牌</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电梯类型</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楼层</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数量（台）</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合计          （台数）</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维保单价报价（元/台/月）</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总价金额（元/月）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3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10层以内</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会议中心</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讯达</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直梯</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9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15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规划馆</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讯达</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直梯</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泰和人家</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奥的斯</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直梯</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会展中心</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蒂森克虏伯</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直梯</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森邻人家</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奥的斯</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直梯</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佳和人家</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巨人通力</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直梯</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下洋综合楼</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日立</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直梯</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10-20层</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市直机关干部周转房</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巨人通力</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直梯</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3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20层以上</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龙泽小区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东芝</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直梯</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9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w:t>
            </w:r>
          </w:p>
        </w:tc>
        <w:tc>
          <w:tcPr>
            <w:tcW w:w="15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泰和人家</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奥的斯</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直梯</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白沙安置房小区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西继迅达</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直梯</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森邻人家</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奥的斯</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直梯</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佳和人家</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巨人通力</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直梯</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佳和人家</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巨人通力</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直梯</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3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扶梯</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三明站</w:t>
            </w:r>
            <w:r>
              <w:rPr>
                <w:rFonts w:hint="eastAsia" w:ascii="宋体" w:hAnsi="宋体" w:eastAsia="宋体" w:cs="宋体"/>
                <w:i w:val="0"/>
                <w:iCs w:val="0"/>
                <w:color w:val="auto"/>
                <w:sz w:val="21"/>
                <w:szCs w:val="21"/>
                <w:u w:val="none"/>
                <w:lang w:val="en-US" w:eastAsia="zh-CN"/>
              </w:rPr>
              <w:t xml:space="preserve">             </w:t>
            </w:r>
            <w:r>
              <w:rPr>
                <w:rFonts w:hint="eastAsia" w:ascii="宋体" w:hAnsi="宋体" w:eastAsia="宋体" w:cs="宋体"/>
                <w:i w:val="0"/>
                <w:iCs w:val="0"/>
                <w:color w:val="auto"/>
                <w:sz w:val="21"/>
                <w:szCs w:val="21"/>
                <w:u w:val="none"/>
              </w:rPr>
              <w:t>地下商业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讯达</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扶梯</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6.8米</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9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5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会议中心</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讯达</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扶梯</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6.2米</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26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合计（含税 元/月）</w:t>
            </w:r>
          </w:p>
        </w:tc>
        <w:tc>
          <w:tcPr>
            <w:tcW w:w="36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1"/>
                <w:szCs w:val="21"/>
                <w:u w:val="none"/>
              </w:rPr>
            </w:pPr>
          </w:p>
        </w:tc>
      </w:tr>
    </w:tbl>
    <w:p>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eastAsia" w:ascii="宋体" w:hAnsi="Calibri" w:eastAsia="宋体" w:cs="Times New Roman"/>
          <w:color w:val="auto"/>
          <w:sz w:val="24"/>
        </w:rPr>
      </w:pPr>
      <w:r>
        <w:rPr>
          <w:rFonts w:hint="eastAsia" w:ascii="宋体" w:hAnsi="Calibri" w:eastAsia="宋体" w:cs="Times New Roman"/>
          <w:b/>
          <w:bCs/>
          <w:color w:val="auto"/>
          <w:sz w:val="24"/>
          <w:lang w:eastAsia="zh-CN"/>
        </w:rPr>
        <w:t>注：《报价函》需独立密封。</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ascii="宋体" w:hAnsi="Calibri" w:eastAsia="宋体" w:cs="Times New Roman"/>
          <w:color w:val="auto"/>
          <w:sz w:val="24"/>
        </w:rPr>
      </w:pPr>
      <w:r>
        <w:rPr>
          <w:rFonts w:hint="eastAsia" w:ascii="宋体" w:hAnsi="Calibri" w:eastAsia="宋体" w:cs="Times New Roman"/>
          <w:color w:val="auto"/>
          <w:sz w:val="24"/>
        </w:rPr>
        <w:t>比选申请人：</w:t>
      </w:r>
      <w:r>
        <w:rPr>
          <w:rFonts w:ascii="宋体" w:hAnsi="Calibri" w:eastAsia="宋体" w:cs="Times New Roman"/>
          <w:color w:val="auto"/>
          <w:sz w:val="24"/>
          <w:u w:val="single"/>
        </w:rPr>
        <w:t xml:space="preserve">                                   </w:t>
      </w:r>
      <w:r>
        <w:rPr>
          <w:rFonts w:hint="eastAsia" w:ascii="宋体" w:hAnsi="Calibri" w:eastAsia="宋体" w:cs="Times New Roman"/>
          <w:color w:val="auto"/>
          <w:sz w:val="24"/>
        </w:rPr>
        <w:t>（盖比选申请人公章）</w:t>
      </w:r>
      <w:r>
        <w:rPr>
          <w:rFonts w:ascii="宋体" w:hAnsi="Calibri" w:eastAsia="宋体" w:cs="Times New Roman"/>
          <w:color w:val="auto"/>
          <w:sz w:val="24"/>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ascii="宋体" w:hAnsi="Calibri" w:eastAsia="宋体" w:cs="Times New Roman"/>
          <w:color w:val="auto"/>
          <w:sz w:val="24"/>
          <w:u w:val="single"/>
        </w:rPr>
      </w:pPr>
      <w:r>
        <w:rPr>
          <w:rFonts w:hint="eastAsia" w:ascii="宋体" w:hAnsi="Calibri" w:eastAsia="宋体" w:cs="Times New Roman"/>
          <w:color w:val="auto"/>
          <w:sz w:val="24"/>
        </w:rPr>
        <w:t>地址：</w:t>
      </w:r>
      <w:r>
        <w:rPr>
          <w:rFonts w:ascii="宋体" w:hAnsi="Calibri" w:eastAsia="宋体" w:cs="Times New Roman"/>
          <w:color w:val="auto"/>
          <w:sz w:val="24"/>
          <w:u w:val="single"/>
        </w:rPr>
        <w:t xml:space="preserve">                                       </w:t>
      </w:r>
      <w:r>
        <w:rPr>
          <w:rFonts w:hint="eastAsia" w:ascii="宋体" w:hAnsi="Calibri" w:eastAsia="宋体" w:cs="宋体"/>
          <w:color w:val="auto"/>
          <w:sz w:val="24"/>
        </w:rPr>
        <w:t>邮编</w:t>
      </w:r>
      <w:r>
        <w:rPr>
          <w:rFonts w:hint="eastAsia" w:ascii="宋体" w:hAnsi="Calibri" w:eastAsia="宋体" w:cs="Times New Roman"/>
          <w:color w:val="auto"/>
          <w:sz w:val="24"/>
        </w:rPr>
        <w:t>：</w:t>
      </w:r>
      <w:r>
        <w:rPr>
          <w:rFonts w:ascii="宋体" w:hAnsi="Calibri" w:eastAsia="宋体" w:cs="Times New Roman"/>
          <w:color w:val="auto"/>
          <w:sz w:val="24"/>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ascii="宋体" w:hAnsi="Calibri" w:eastAsia="宋体" w:cs="Times New Roman"/>
          <w:color w:val="auto"/>
          <w:sz w:val="24"/>
        </w:rPr>
      </w:pPr>
      <w:r>
        <w:rPr>
          <w:rFonts w:hint="eastAsia" w:ascii="宋体" w:hAnsi="Calibri" w:eastAsia="宋体" w:cs="宋体"/>
          <w:color w:val="auto"/>
          <w:sz w:val="24"/>
        </w:rPr>
        <w:t>电话</w:t>
      </w:r>
      <w:r>
        <w:rPr>
          <w:rFonts w:hint="eastAsia" w:ascii="宋体" w:hAnsi="Calibri" w:eastAsia="宋体" w:cs="Times New Roman"/>
          <w:color w:val="auto"/>
          <w:sz w:val="24"/>
        </w:rPr>
        <w:t>：</w:t>
      </w:r>
      <w:r>
        <w:rPr>
          <w:rFonts w:ascii="宋体" w:hAnsi="Calibri" w:eastAsia="宋体" w:cs="Times New Roman"/>
          <w:color w:val="auto"/>
          <w:sz w:val="24"/>
          <w:u w:val="single"/>
        </w:rPr>
        <w:t xml:space="preserve">                                         </w:t>
      </w:r>
      <w:r>
        <w:rPr>
          <w:rFonts w:hint="eastAsia" w:ascii="宋体" w:hAnsi="Calibri" w:eastAsia="宋体" w:cs="宋体"/>
          <w:color w:val="auto"/>
          <w:sz w:val="24"/>
        </w:rPr>
        <w:t>传</w:t>
      </w:r>
      <w:r>
        <w:rPr>
          <w:rFonts w:hint="eastAsia" w:ascii="宋体" w:hAnsi="Calibri" w:eastAsia="宋体" w:cs="Times New Roman"/>
          <w:color w:val="auto"/>
          <w:sz w:val="24"/>
        </w:rPr>
        <w:t>真：</w:t>
      </w:r>
      <w:r>
        <w:rPr>
          <w:rFonts w:ascii="宋体" w:hAnsi="Calibri" w:eastAsia="宋体" w:cs="Times New Roman"/>
          <w:color w:val="auto"/>
          <w:sz w:val="24"/>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ascii="宋体" w:hAnsi="Calibri" w:eastAsia="宋体" w:cs="Times New Roman"/>
          <w:color w:val="auto"/>
          <w:sz w:val="24"/>
        </w:rPr>
      </w:pPr>
      <w:r>
        <w:rPr>
          <w:rFonts w:hint="eastAsia" w:ascii="宋体" w:hAnsi="Calibri" w:eastAsia="宋体" w:cs="Times New Roman"/>
          <w:color w:val="auto"/>
          <w:sz w:val="24"/>
        </w:rPr>
        <w:t>法定代表人</w:t>
      </w:r>
      <w:r>
        <w:rPr>
          <w:rFonts w:ascii="宋体" w:hAnsi="Calibri" w:eastAsia="宋体" w:cs="Times New Roman"/>
          <w:color w:val="auto"/>
          <w:sz w:val="24"/>
          <w:u w:val="single"/>
        </w:rPr>
        <w:t xml:space="preserve">         </w:t>
      </w:r>
      <w:r>
        <w:rPr>
          <w:rFonts w:hint="eastAsia" w:ascii="宋体" w:hAnsi="Calibri" w:eastAsia="宋体" w:cs="Times New Roman"/>
          <w:color w:val="auto"/>
          <w:sz w:val="24"/>
        </w:rPr>
        <w:t>（</w:t>
      </w:r>
      <w:r>
        <w:rPr>
          <w:rFonts w:hint="eastAsia" w:ascii="宋体" w:hAnsi="Calibri" w:eastAsia="宋体" w:cs="Times New Roman"/>
          <w:i/>
          <w:color w:val="auto"/>
          <w:sz w:val="24"/>
        </w:rPr>
        <w:t>签字或签章</w:t>
      </w:r>
      <w:r>
        <w:rPr>
          <w:rFonts w:hint="eastAsia" w:ascii="宋体" w:hAnsi="Calibri" w:eastAsia="宋体" w:cs="Times New Roman"/>
          <w:color w:val="auto"/>
          <w:sz w:val="24"/>
        </w:rPr>
        <w:t>）或授</w:t>
      </w:r>
      <w:r>
        <w:rPr>
          <w:rFonts w:hint="eastAsia" w:ascii="宋体" w:hAnsi="Calibri" w:eastAsia="宋体" w:cs="宋体"/>
          <w:color w:val="auto"/>
          <w:sz w:val="24"/>
        </w:rPr>
        <w:t>权</w:t>
      </w:r>
      <w:r>
        <w:rPr>
          <w:rFonts w:hint="eastAsia" w:ascii="宋体" w:hAnsi="Calibri" w:eastAsia="宋体" w:cs="Times New Roman"/>
          <w:color w:val="auto"/>
          <w:sz w:val="24"/>
        </w:rPr>
        <w:t>委托人：</w:t>
      </w:r>
      <w:r>
        <w:rPr>
          <w:rFonts w:ascii="宋体" w:hAnsi="Calibri" w:eastAsia="宋体" w:cs="Times New Roman"/>
          <w:color w:val="auto"/>
          <w:sz w:val="24"/>
          <w:u w:val="single"/>
        </w:rPr>
        <w:t xml:space="preserve">          </w:t>
      </w:r>
      <w:r>
        <w:rPr>
          <w:rFonts w:hint="eastAsia" w:ascii="宋体" w:hAnsi="Calibri" w:eastAsia="宋体" w:cs="Times New Roman"/>
          <w:color w:val="auto"/>
          <w:sz w:val="24"/>
        </w:rPr>
        <w:t>（</w:t>
      </w:r>
      <w:r>
        <w:rPr>
          <w:rFonts w:hint="eastAsia" w:ascii="宋体" w:hAnsi="Calibri" w:eastAsia="宋体" w:cs="Times New Roman"/>
          <w:i/>
          <w:color w:val="auto"/>
          <w:sz w:val="24"/>
        </w:rPr>
        <w:t>签字</w:t>
      </w:r>
      <w:r>
        <w:rPr>
          <w:rFonts w:hint="eastAsia" w:ascii="宋体" w:hAnsi="Calibri" w:eastAsia="宋体" w:cs="Times New Roman"/>
          <w:color w:val="auto"/>
          <w:sz w:val="24"/>
        </w:rPr>
        <w:t>）</w:t>
      </w:r>
      <w:r>
        <w:rPr>
          <w:rFonts w:ascii="宋体" w:hAnsi="Calibri" w:eastAsia="宋体" w:cs="Times New Roman"/>
          <w:color w:val="auto"/>
          <w:sz w:val="24"/>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Calibri" w:eastAsia="宋体" w:cs="Times New Roman"/>
          <w:color w:val="auto"/>
          <w:sz w:val="24"/>
        </w:rPr>
      </w:pPr>
      <w:r>
        <w:rPr>
          <w:rFonts w:hint="eastAsia" w:ascii="宋体" w:hAnsi="Calibri" w:eastAsia="宋体" w:cs="Times New Roman"/>
          <w:color w:val="auto"/>
          <w:sz w:val="24"/>
        </w:rPr>
        <w:t>日期：</w:t>
      </w:r>
      <w:r>
        <w:rPr>
          <w:rFonts w:ascii="宋体" w:hAnsi="Calibri" w:eastAsia="宋体" w:cs="Times New Roman"/>
          <w:color w:val="auto"/>
          <w:sz w:val="24"/>
          <w:u w:val="single"/>
        </w:rPr>
        <w:t xml:space="preserve">     </w:t>
      </w:r>
      <w:r>
        <w:rPr>
          <w:rFonts w:hint="eastAsia" w:ascii="宋体" w:hAnsi="Calibri" w:eastAsia="宋体" w:cs="Times New Roman"/>
          <w:color w:val="auto"/>
          <w:sz w:val="24"/>
        </w:rPr>
        <w:t>年</w:t>
      </w:r>
      <w:r>
        <w:rPr>
          <w:rFonts w:ascii="宋体" w:hAnsi="Calibri" w:eastAsia="宋体" w:cs="Times New Roman"/>
          <w:color w:val="auto"/>
          <w:sz w:val="24"/>
          <w:u w:val="single"/>
        </w:rPr>
        <w:t xml:space="preserve">    </w:t>
      </w:r>
      <w:r>
        <w:rPr>
          <w:rFonts w:hint="eastAsia" w:ascii="宋体" w:hAnsi="Calibri" w:eastAsia="宋体" w:cs="Times New Roman"/>
          <w:color w:val="auto"/>
          <w:sz w:val="24"/>
        </w:rPr>
        <w:t>月</w:t>
      </w:r>
      <w:r>
        <w:rPr>
          <w:rFonts w:ascii="宋体" w:hAnsi="Calibri" w:eastAsia="宋体" w:cs="Times New Roman"/>
          <w:color w:val="auto"/>
          <w:sz w:val="24"/>
          <w:u w:val="single"/>
        </w:rPr>
        <w:t xml:space="preserve">    </w:t>
      </w:r>
      <w:r>
        <w:rPr>
          <w:rFonts w:hint="eastAsia" w:ascii="宋体" w:hAnsi="Calibri" w:eastAsia="宋体" w:cs="Times New Roman"/>
          <w:color w:val="auto"/>
          <w:sz w:val="24"/>
        </w:rPr>
        <w:t>日</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Calibri" w:eastAsia="宋体" w:cs="Times New Roman"/>
          <w:color w:val="auto"/>
          <w:sz w:val="24"/>
        </w:rPr>
      </w:pPr>
      <w:r>
        <w:rPr>
          <w:rFonts w:hint="eastAsia" w:ascii="宋体" w:hAnsi="Calibri" w:eastAsia="宋体" w:cs="Times New Roman"/>
          <w:color w:val="auto"/>
          <w:sz w:val="24"/>
        </w:rPr>
        <w:br w:type="page"/>
      </w:r>
    </w:p>
    <w:p>
      <w:pPr>
        <w:pStyle w:val="49"/>
        <w:spacing w:before="0" w:after="0"/>
        <w:ind w:left="0"/>
        <w:jc w:val="both"/>
        <w:rPr>
          <w:rFonts w:hint="eastAsia" w:ascii="宋体" w:hAnsi="宋体" w:eastAsia="宋体"/>
          <w:b/>
          <w:color w:val="auto"/>
          <w:sz w:val="36"/>
          <w:szCs w:val="36"/>
        </w:rPr>
      </w:pPr>
    </w:p>
    <w:p>
      <w:pPr>
        <w:pStyle w:val="49"/>
        <w:spacing w:before="0" w:after="0"/>
        <w:ind w:left="0"/>
        <w:rPr>
          <w:rFonts w:hint="eastAsia" w:ascii="宋体" w:hAnsi="宋体" w:eastAsia="宋体"/>
          <w:b/>
          <w:color w:val="auto"/>
          <w:sz w:val="36"/>
          <w:szCs w:val="36"/>
        </w:rPr>
      </w:pPr>
      <w:r>
        <w:rPr>
          <w:rFonts w:hint="eastAsia" w:ascii="宋体" w:hAnsi="宋体" w:eastAsia="宋体"/>
          <w:b/>
          <w:color w:val="auto"/>
          <w:sz w:val="36"/>
          <w:szCs w:val="36"/>
        </w:rPr>
        <w:t>三明城发物业电梯维保合同</w:t>
      </w:r>
    </w:p>
    <w:p>
      <w:pPr>
        <w:pStyle w:val="49"/>
        <w:spacing w:before="0" w:after="0"/>
        <w:ind w:left="0"/>
        <w:rPr>
          <w:rFonts w:hint="eastAsia" w:ascii="宋体" w:hAnsi="宋体" w:eastAsia="宋体"/>
          <w:color w:val="auto"/>
          <w:sz w:val="36"/>
          <w:szCs w:val="36"/>
        </w:rPr>
      </w:pPr>
    </w:p>
    <w:p>
      <w:pPr>
        <w:pStyle w:val="49"/>
        <w:spacing w:before="0" w:after="0"/>
        <w:ind w:left="0"/>
        <w:rPr>
          <w:rFonts w:hint="eastAsia" w:ascii="宋体" w:hAnsi="宋体" w:eastAsia="宋体"/>
          <w:color w:val="auto"/>
          <w:sz w:val="36"/>
          <w:szCs w:val="36"/>
        </w:rPr>
      </w:pPr>
    </w:p>
    <w:p>
      <w:pPr>
        <w:pStyle w:val="49"/>
        <w:spacing w:before="0" w:after="0"/>
        <w:ind w:left="0"/>
        <w:rPr>
          <w:rFonts w:hint="eastAsia" w:ascii="宋体" w:hAnsi="宋体" w:eastAsia="宋体"/>
          <w:color w:val="auto"/>
          <w:sz w:val="36"/>
          <w:szCs w:val="36"/>
        </w:rPr>
      </w:pPr>
    </w:p>
    <w:p>
      <w:pPr>
        <w:pStyle w:val="49"/>
        <w:spacing w:before="0" w:after="0"/>
        <w:ind w:left="0"/>
        <w:rPr>
          <w:rFonts w:hint="eastAsia" w:ascii="宋体" w:hAnsi="宋体" w:eastAsia="宋体"/>
          <w:color w:val="auto"/>
          <w:sz w:val="36"/>
          <w:szCs w:val="36"/>
        </w:rPr>
      </w:pPr>
    </w:p>
    <w:p>
      <w:pPr>
        <w:pStyle w:val="49"/>
        <w:spacing w:before="0" w:after="0"/>
        <w:ind w:left="0"/>
        <w:rPr>
          <w:rFonts w:hint="eastAsia" w:ascii="宋体" w:hAnsi="宋体" w:eastAsia="宋体"/>
          <w:color w:val="auto"/>
          <w:sz w:val="36"/>
          <w:szCs w:val="36"/>
        </w:rPr>
      </w:pPr>
    </w:p>
    <w:p>
      <w:pPr>
        <w:pStyle w:val="49"/>
        <w:spacing w:before="0" w:after="0"/>
        <w:ind w:left="0"/>
        <w:rPr>
          <w:rFonts w:hint="eastAsia" w:ascii="宋体" w:hAnsi="宋体" w:eastAsia="宋体"/>
          <w:color w:val="auto"/>
          <w:sz w:val="36"/>
          <w:szCs w:val="36"/>
        </w:rPr>
      </w:pPr>
    </w:p>
    <w:p>
      <w:pPr>
        <w:pStyle w:val="49"/>
        <w:spacing w:before="0" w:after="0"/>
        <w:ind w:left="0"/>
        <w:rPr>
          <w:rFonts w:hint="eastAsia" w:ascii="宋体" w:hAnsi="宋体" w:eastAsia="宋体"/>
          <w:color w:val="auto"/>
          <w:sz w:val="36"/>
          <w:szCs w:val="36"/>
        </w:rPr>
      </w:pPr>
      <w:r>
        <w:rPr>
          <w:rFonts w:hint="eastAsia" w:ascii="宋体" w:hAnsi="宋体" w:eastAsia="宋体"/>
          <w:color w:val="auto"/>
          <w:sz w:val="36"/>
          <w:szCs w:val="36"/>
        </w:rPr>
        <mc:AlternateContent>
          <mc:Choice Requires="wps">
            <w:drawing>
              <wp:anchor distT="0" distB="0" distL="114300" distR="114300" simplePos="0" relativeHeight="251660288" behindDoc="0" locked="0" layoutInCell="1" allowOverlap="1">
                <wp:simplePos x="0" y="0"/>
                <wp:positionH relativeFrom="column">
                  <wp:posOffset>1343025</wp:posOffset>
                </wp:positionH>
                <wp:positionV relativeFrom="paragraph">
                  <wp:posOffset>99060</wp:posOffset>
                </wp:positionV>
                <wp:extent cx="3138805" cy="1144270"/>
                <wp:effectExtent l="19050" t="19050" r="23495" b="36830"/>
                <wp:wrapNone/>
                <wp:docPr id="4" name="文本框 4"/>
                <wp:cNvGraphicFramePr/>
                <a:graphic xmlns:a="http://schemas.openxmlformats.org/drawingml/2006/main">
                  <a:graphicData uri="http://schemas.microsoft.com/office/word/2010/wordprocessingShape">
                    <wps:wsp>
                      <wps:cNvSpPr txBox="1"/>
                      <wps:spPr>
                        <a:xfrm>
                          <a:off x="0" y="0"/>
                          <a:ext cx="3138805" cy="1144270"/>
                        </a:xfrm>
                        <a:prstGeom prst="rect">
                          <a:avLst/>
                        </a:prstGeom>
                        <a:solidFill>
                          <a:srgbClr val="FFFFFF"/>
                        </a:solidFill>
                        <a:ln w="38100" cap="flat" cmpd="dbl">
                          <a:solidFill>
                            <a:srgbClr val="000000"/>
                          </a:solidFill>
                          <a:prstDash val="solid"/>
                          <a:miter/>
                          <a:headEnd type="none" w="med" len="med"/>
                          <a:tailEnd type="none" w="med" len="med"/>
                        </a:ln>
                      </wps:spPr>
                      <wps:txbx>
                        <w:txbxContent>
                          <w:p>
                            <w:pPr>
                              <w:rPr>
                                <w:rFonts w:hint="eastAsia"/>
                                <w:b/>
                                <w:bCs/>
                                <w:sz w:val="28"/>
                                <w:u w:val="single"/>
                                <w:lang w:val="en-US" w:eastAsia="zh-CN"/>
                              </w:rPr>
                            </w:pPr>
                            <w:r>
                              <w:rPr>
                                <w:rFonts w:hint="eastAsia"/>
                                <w:b/>
                                <w:bCs/>
                                <w:sz w:val="28"/>
                              </w:rPr>
                              <w:t xml:space="preserve">项目名称:  </w:t>
                            </w:r>
                            <w:r>
                              <w:rPr>
                                <w:rFonts w:hint="eastAsia"/>
                                <w:b/>
                                <w:bCs/>
                                <w:sz w:val="28"/>
                                <w:u w:val="single"/>
                                <w:lang w:val="en-US" w:eastAsia="zh-CN"/>
                              </w:rPr>
                              <w:t>三明城发物业电梯维保</w:t>
                            </w:r>
                          </w:p>
                          <w:p>
                            <w:pPr>
                              <w:rPr>
                                <w:b/>
                              </w:rPr>
                            </w:pPr>
                            <w:r>
                              <w:rPr>
                                <w:rFonts w:hint="eastAsia"/>
                                <w:b/>
                                <w:bCs/>
                                <w:sz w:val="28"/>
                              </w:rPr>
                              <w:t>维保编号：</w:t>
                            </w:r>
                            <w:r>
                              <w:rPr>
                                <w:rFonts w:hint="eastAsia"/>
                                <w:b/>
                                <w:bCs/>
                                <w:sz w:val="28"/>
                                <w:lang w:val="en-US" w:eastAsia="zh-CN"/>
                              </w:rPr>
                              <w:t xml:space="preserve"> </w:t>
                            </w:r>
                            <w:r>
                              <w:rPr>
                                <w:rFonts w:hint="eastAsia"/>
                                <w:b/>
                                <w:bCs/>
                                <w:sz w:val="28"/>
                                <w:u w:val="single"/>
                              </w:rPr>
                              <w:t xml:space="preserve"> </w:t>
                            </w:r>
                            <w:r>
                              <w:rPr>
                                <w:rFonts w:hint="eastAsia"/>
                                <w:b/>
                                <w:bCs/>
                                <w:sz w:val="28"/>
                                <w:u w:val="single"/>
                                <w:lang w:val="en-US" w:eastAsia="zh-CN"/>
                              </w:rPr>
                              <w:t xml:space="preserve">                </w:t>
                            </w:r>
                          </w:p>
                        </w:txbxContent>
                      </wps:txbx>
                      <wps:bodyPr upright="1"/>
                    </wps:wsp>
                  </a:graphicData>
                </a:graphic>
              </wp:anchor>
            </w:drawing>
          </mc:Choice>
          <mc:Fallback>
            <w:pict>
              <v:shape id="_x0000_s1026" o:spid="_x0000_s1026" o:spt="202" type="#_x0000_t202" style="position:absolute;left:0pt;margin-left:105.75pt;margin-top:7.8pt;height:90.1pt;width:247.15pt;z-index:251660288;mso-width-relative:page;mso-height-relative:page;" fillcolor="#FFFFFF" filled="t" stroked="t" coordsize="21600,21600" o:gfxdata="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BmMqtcAAAAKAQAADwAAAAAAAAABACAA&#10;AAAiAAAAZHJzL2Rvd25yZXYueG1sUEsBAhQAFAAAAAgAh07iQE+suuYOAgAAOAQAAA4AAAAAAAAA&#10;AQAgAAAAJgEAAGRycy9lMm9Eb2MueG1sUEsFBgAAAAAGAAYAWQEAAKYFAAAAAA==&#10;">
                <v:fill on="t" focussize="0,0"/>
                <v:stroke weight="3pt" color="#000000" linestyle="thinThin" joinstyle="miter"/>
                <v:imagedata o:title=""/>
                <o:lock v:ext="edit" aspectratio="f"/>
                <v:textbox>
                  <w:txbxContent>
                    <w:p>
                      <w:pPr>
                        <w:rPr>
                          <w:rFonts w:hint="eastAsia"/>
                          <w:b/>
                          <w:bCs/>
                          <w:sz w:val="28"/>
                          <w:u w:val="single"/>
                          <w:lang w:val="en-US" w:eastAsia="zh-CN"/>
                        </w:rPr>
                      </w:pPr>
                      <w:r>
                        <w:rPr>
                          <w:rFonts w:hint="eastAsia"/>
                          <w:b/>
                          <w:bCs/>
                          <w:sz w:val="28"/>
                        </w:rPr>
                        <w:t xml:space="preserve">项目名称:  </w:t>
                      </w:r>
                      <w:r>
                        <w:rPr>
                          <w:rFonts w:hint="eastAsia"/>
                          <w:b/>
                          <w:bCs/>
                          <w:sz w:val="28"/>
                          <w:u w:val="single"/>
                          <w:lang w:val="en-US" w:eastAsia="zh-CN"/>
                        </w:rPr>
                        <w:t>三明城发物业电梯维保</w:t>
                      </w:r>
                    </w:p>
                    <w:p>
                      <w:pPr>
                        <w:rPr>
                          <w:b/>
                        </w:rPr>
                      </w:pPr>
                      <w:r>
                        <w:rPr>
                          <w:rFonts w:hint="eastAsia"/>
                          <w:b/>
                          <w:bCs/>
                          <w:sz w:val="28"/>
                        </w:rPr>
                        <w:t>维保编号：</w:t>
                      </w:r>
                      <w:r>
                        <w:rPr>
                          <w:rFonts w:hint="eastAsia"/>
                          <w:b/>
                          <w:bCs/>
                          <w:sz w:val="28"/>
                          <w:lang w:val="en-US" w:eastAsia="zh-CN"/>
                        </w:rPr>
                        <w:t xml:space="preserve"> </w:t>
                      </w:r>
                      <w:r>
                        <w:rPr>
                          <w:rFonts w:hint="eastAsia"/>
                          <w:b/>
                          <w:bCs/>
                          <w:sz w:val="28"/>
                          <w:u w:val="single"/>
                        </w:rPr>
                        <w:t xml:space="preserve"> </w:t>
                      </w:r>
                      <w:r>
                        <w:rPr>
                          <w:rFonts w:hint="eastAsia"/>
                          <w:b/>
                          <w:bCs/>
                          <w:sz w:val="28"/>
                          <w:u w:val="single"/>
                          <w:lang w:val="en-US" w:eastAsia="zh-CN"/>
                        </w:rPr>
                        <w:t xml:space="preserve">                </w:t>
                      </w:r>
                    </w:p>
                  </w:txbxContent>
                </v:textbox>
              </v:shape>
            </w:pict>
          </mc:Fallback>
        </mc:AlternateContent>
      </w:r>
    </w:p>
    <w:p>
      <w:pPr>
        <w:pStyle w:val="49"/>
        <w:spacing w:before="0" w:after="0"/>
        <w:ind w:left="0"/>
        <w:rPr>
          <w:rFonts w:hint="eastAsia" w:ascii="宋体" w:hAnsi="宋体" w:eastAsia="宋体"/>
          <w:color w:val="auto"/>
          <w:sz w:val="36"/>
          <w:szCs w:val="36"/>
        </w:rPr>
      </w:pPr>
    </w:p>
    <w:p>
      <w:pPr>
        <w:pStyle w:val="49"/>
        <w:spacing w:before="0" w:after="0"/>
        <w:ind w:left="0"/>
        <w:rPr>
          <w:rFonts w:hint="eastAsia" w:ascii="宋体" w:hAnsi="宋体" w:eastAsia="宋体"/>
          <w:color w:val="auto"/>
          <w:sz w:val="36"/>
          <w:szCs w:val="36"/>
        </w:rPr>
      </w:pPr>
    </w:p>
    <w:p>
      <w:pPr>
        <w:pStyle w:val="49"/>
        <w:spacing w:before="0" w:after="0"/>
        <w:ind w:left="0"/>
        <w:rPr>
          <w:rFonts w:hint="eastAsia" w:ascii="宋体" w:hAnsi="宋体" w:eastAsia="宋体"/>
          <w:color w:val="auto"/>
          <w:sz w:val="36"/>
          <w:szCs w:val="36"/>
        </w:rPr>
      </w:pPr>
    </w:p>
    <w:p>
      <w:pPr>
        <w:pStyle w:val="49"/>
        <w:spacing w:before="0" w:after="0"/>
        <w:ind w:left="0"/>
        <w:rPr>
          <w:rFonts w:hint="eastAsia" w:ascii="宋体" w:hAnsi="宋体" w:eastAsia="宋体"/>
          <w:color w:val="auto"/>
          <w:sz w:val="36"/>
          <w:szCs w:val="36"/>
        </w:rPr>
      </w:pPr>
    </w:p>
    <w:p>
      <w:pPr>
        <w:pStyle w:val="49"/>
        <w:spacing w:before="0" w:after="0"/>
        <w:ind w:left="0"/>
        <w:rPr>
          <w:rFonts w:hint="eastAsia" w:ascii="宋体" w:hAnsi="宋体" w:eastAsia="宋体"/>
          <w:color w:val="auto"/>
          <w:sz w:val="36"/>
          <w:szCs w:val="36"/>
        </w:rPr>
      </w:pPr>
    </w:p>
    <w:p>
      <w:pPr>
        <w:pStyle w:val="49"/>
        <w:spacing w:before="0" w:after="0"/>
        <w:ind w:left="0"/>
        <w:rPr>
          <w:rFonts w:hint="eastAsia" w:ascii="宋体" w:hAnsi="宋体" w:eastAsia="宋体"/>
          <w:color w:val="auto"/>
          <w:sz w:val="36"/>
          <w:szCs w:val="36"/>
        </w:rPr>
      </w:pPr>
    </w:p>
    <w:p>
      <w:pPr>
        <w:pStyle w:val="49"/>
        <w:spacing w:before="0" w:after="0"/>
        <w:ind w:left="0"/>
        <w:rPr>
          <w:rFonts w:hint="eastAsia" w:ascii="宋体" w:hAnsi="宋体" w:eastAsia="宋体"/>
          <w:color w:val="auto"/>
          <w:sz w:val="36"/>
          <w:szCs w:val="36"/>
        </w:rPr>
      </w:pPr>
    </w:p>
    <w:p>
      <w:pPr>
        <w:pStyle w:val="49"/>
        <w:spacing w:before="0" w:after="0"/>
        <w:ind w:left="0"/>
        <w:rPr>
          <w:rFonts w:hint="eastAsia" w:ascii="宋体" w:hAnsi="宋体" w:eastAsia="宋体"/>
          <w:b/>
          <w:bCs/>
          <w:color w:val="auto"/>
          <w:sz w:val="36"/>
          <w:szCs w:val="36"/>
        </w:rPr>
      </w:pPr>
    </w:p>
    <w:p>
      <w:pPr>
        <w:pStyle w:val="49"/>
        <w:spacing w:before="0" w:after="0"/>
        <w:ind w:left="0"/>
        <w:jc w:val="both"/>
        <w:rPr>
          <w:rFonts w:hint="eastAsia" w:ascii="宋体" w:hAnsi="宋体" w:eastAsia="宋体"/>
          <w:b/>
          <w:color w:val="auto"/>
          <w:sz w:val="36"/>
          <w:szCs w:val="36"/>
        </w:rPr>
      </w:pPr>
    </w:p>
    <w:p>
      <w:pPr>
        <w:rPr>
          <w:rFonts w:hint="eastAsia" w:ascii="宋体" w:hAnsi="宋体"/>
          <w:color w:val="auto"/>
        </w:rPr>
      </w:pPr>
    </w:p>
    <w:p>
      <w:pPr>
        <w:jc w:val="center"/>
        <w:rPr>
          <w:rFonts w:hint="eastAsia" w:ascii="宋体" w:hAnsi="宋体" w:eastAsia="宋体" w:cs="宋体"/>
          <w:b/>
          <w:color w:val="auto"/>
          <w:kern w:val="0"/>
          <w:sz w:val="32"/>
          <w:szCs w:val="32"/>
          <w:u w:val="single"/>
          <w:lang w:val="en-US" w:eastAsia="zh-CN"/>
        </w:rPr>
      </w:pPr>
      <w:r>
        <w:rPr>
          <w:rFonts w:hint="eastAsia" w:ascii="宋体" w:hAnsi="宋体" w:cs="宋体"/>
          <w:b/>
          <w:color w:val="auto"/>
          <w:kern w:val="0"/>
          <w:sz w:val="32"/>
          <w:szCs w:val="32"/>
          <w:lang w:val="en-US" w:eastAsia="zh-CN"/>
        </w:rPr>
        <w:t xml:space="preserve"> </w:t>
      </w:r>
      <w:r>
        <w:rPr>
          <w:rFonts w:hint="eastAsia" w:ascii="宋体" w:hAnsi="宋体" w:cs="宋体"/>
          <w:b/>
          <w:color w:val="auto"/>
          <w:kern w:val="0"/>
          <w:sz w:val="32"/>
          <w:szCs w:val="32"/>
        </w:rPr>
        <w:t>使用单位（甲方）</w:t>
      </w:r>
      <w:r>
        <w:rPr>
          <w:rFonts w:hint="eastAsia" w:ascii="宋体" w:hAnsi="宋体" w:cs="宋体"/>
          <w:b/>
          <w:color w:val="auto"/>
          <w:kern w:val="0"/>
          <w:sz w:val="32"/>
          <w:szCs w:val="32"/>
          <w:u w:val="single"/>
        </w:rPr>
        <w:t xml:space="preserve">   三明城发物业有限公司</w:t>
      </w:r>
      <w:r>
        <w:rPr>
          <w:rFonts w:hint="eastAsia" w:ascii="宋体" w:hAnsi="宋体" w:cs="宋体"/>
          <w:b/>
          <w:color w:val="auto"/>
          <w:kern w:val="0"/>
          <w:sz w:val="32"/>
          <w:szCs w:val="32"/>
          <w:u w:val="single"/>
          <w:lang w:val="en-US" w:eastAsia="zh-CN"/>
        </w:rPr>
        <w:t xml:space="preserve"> </w:t>
      </w:r>
    </w:p>
    <w:p>
      <w:pPr>
        <w:ind w:firstLine="1285" w:firstLineChars="400"/>
        <w:jc w:val="both"/>
        <w:rPr>
          <w:rFonts w:hint="eastAsia" w:ascii="宋体" w:hAnsi="宋体" w:eastAsia="宋体" w:cs="宋体"/>
          <w:color w:val="auto"/>
          <w:kern w:val="0"/>
          <w:sz w:val="24"/>
          <w:szCs w:val="24"/>
        </w:rPr>
      </w:pPr>
      <w:r>
        <w:rPr>
          <w:rFonts w:hint="eastAsia" w:ascii="宋体" w:hAnsi="宋体" w:eastAsia="宋体" w:cs="宋体"/>
          <w:b/>
          <w:color w:val="auto"/>
          <w:kern w:val="0"/>
          <w:sz w:val="32"/>
          <w:szCs w:val="32"/>
        </w:rPr>
        <w:t>维保单位（乙方）</w:t>
      </w:r>
      <w:r>
        <w:rPr>
          <w:rFonts w:hint="eastAsia" w:ascii="宋体" w:hAnsi="宋体" w:eastAsia="宋体" w:cs="宋体"/>
          <w:b/>
          <w:color w:val="auto"/>
          <w:kern w:val="0"/>
          <w:sz w:val="32"/>
          <w:szCs w:val="32"/>
          <w:u w:val="single"/>
          <w:lang w:val="en-US" w:eastAsia="zh-CN"/>
        </w:rPr>
        <w:t xml:space="preserve">                       </w:t>
      </w:r>
    </w:p>
    <w:p>
      <w:pPr>
        <w:spacing w:line="360" w:lineRule="auto"/>
        <w:ind w:firstLine="480" w:firstLineChars="200"/>
        <w:rPr>
          <w:rFonts w:hint="eastAsia" w:ascii="宋体" w:hAnsi="宋体" w:eastAsia="宋体" w:cs="宋体"/>
          <w:color w:val="auto"/>
          <w:kern w:val="0"/>
          <w:sz w:val="24"/>
          <w:szCs w:val="24"/>
        </w:rPr>
      </w:pP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为贯彻“安全生产，预防为主”的方针，保障电梯安全运行，防止事故发生，依照《</w:t>
      </w:r>
      <w:r>
        <w:rPr>
          <w:rFonts w:hint="eastAsia" w:ascii="宋体" w:hAnsi="宋体" w:eastAsia="宋体" w:cs="宋体"/>
          <w:color w:val="auto"/>
          <w:kern w:val="0"/>
          <w:sz w:val="24"/>
          <w:szCs w:val="24"/>
          <w:lang w:val="en-US" w:eastAsia="zh-CN"/>
        </w:rPr>
        <w:t>民法典</w:t>
      </w:r>
      <w:r>
        <w:rPr>
          <w:rFonts w:hint="eastAsia" w:ascii="宋体" w:hAnsi="宋体" w:eastAsia="宋体" w:cs="宋体"/>
          <w:color w:val="auto"/>
          <w:kern w:val="0"/>
          <w:sz w:val="24"/>
          <w:szCs w:val="24"/>
        </w:rPr>
        <w:t>》、《中华人民共和国特种设备安全法》、《特种设备安全监察条例》、《电梯维护保养规则》（TSG T5002-2017）等规定，遵循平等、自愿、公平和诚实信用的原则，经甲乙双方协商订立本合同。</w:t>
      </w:r>
    </w:p>
    <w:p>
      <w:pPr>
        <w:spacing w:line="360" w:lineRule="auto"/>
        <w:ind w:left="1" w:firstLine="479" w:firstLineChars="199"/>
        <w:rPr>
          <w:rFonts w:hint="eastAsia" w:ascii="宋体" w:hAnsi="宋体" w:eastAsia="宋体" w:cs="宋体"/>
          <w:color w:val="auto"/>
          <w:kern w:val="0"/>
          <w:sz w:val="24"/>
          <w:szCs w:val="24"/>
        </w:rPr>
      </w:pPr>
      <w:r>
        <w:rPr>
          <w:rFonts w:hint="eastAsia" w:ascii="宋体" w:hAnsi="宋体" w:eastAsia="宋体" w:cs="宋体"/>
          <w:b/>
          <w:color w:val="auto"/>
          <w:kern w:val="0"/>
          <w:sz w:val="24"/>
          <w:szCs w:val="24"/>
        </w:rPr>
        <w:t xml:space="preserve">第一条  </w:t>
      </w:r>
      <w:r>
        <w:rPr>
          <w:rFonts w:hint="eastAsia" w:ascii="宋体" w:hAnsi="宋体" w:eastAsia="宋体" w:cs="宋体"/>
          <w:color w:val="auto"/>
          <w:kern w:val="0"/>
          <w:sz w:val="24"/>
          <w:szCs w:val="24"/>
        </w:rPr>
        <w:t>乙方为本合同《电梯保养时间和保养费明细表》（附件1）中列明的电梯提供维保和紧急救援服务单位。保养项目应覆盖《电梯维护保养规则》规定的半月、季度、半年、年度保养项目和电梯制造单位技术文件所要求的特殊保养项目，以及与电梯安全运行相关的其他项目。</w:t>
      </w:r>
    </w:p>
    <w:p>
      <w:pPr>
        <w:spacing w:line="360" w:lineRule="auto"/>
        <w:ind w:left="1" w:firstLine="479" w:firstLineChars="199"/>
        <w:rPr>
          <w:rFonts w:hint="eastAsia" w:ascii="宋体" w:hAnsi="宋体" w:eastAsia="宋体" w:cs="宋体"/>
          <w:color w:val="auto"/>
          <w:kern w:val="0"/>
          <w:sz w:val="24"/>
          <w:szCs w:val="24"/>
        </w:rPr>
      </w:pPr>
      <w:r>
        <w:rPr>
          <w:rFonts w:hint="eastAsia" w:ascii="宋体" w:hAnsi="宋体" w:eastAsia="宋体" w:cs="宋体"/>
          <w:b/>
          <w:color w:val="auto"/>
          <w:kern w:val="0"/>
          <w:sz w:val="24"/>
          <w:szCs w:val="24"/>
        </w:rPr>
        <w:t xml:space="preserve">第二条  </w:t>
      </w:r>
      <w:r>
        <w:rPr>
          <w:rFonts w:hint="eastAsia" w:ascii="宋体" w:hAnsi="宋体" w:eastAsia="宋体" w:cs="宋体"/>
          <w:color w:val="auto"/>
          <w:kern w:val="0"/>
          <w:sz w:val="24"/>
          <w:szCs w:val="24"/>
        </w:rPr>
        <w:t>乙方提供维保服务的方式：</w:t>
      </w:r>
    </w:p>
    <w:p>
      <w:pPr>
        <w:spacing w:line="360" w:lineRule="auto"/>
        <w:ind w:left="1" w:firstLine="537" w:firstLineChars="224"/>
        <w:rPr>
          <w:rFonts w:hint="eastAsia" w:ascii="宋体" w:hAnsi="宋体" w:eastAsia="宋体" w:cs="宋体"/>
          <w:color w:val="auto"/>
          <w:kern w:val="0"/>
          <w:sz w:val="24"/>
          <w:szCs w:val="24"/>
        </w:rPr>
      </w:pPr>
      <w:r>
        <w:rPr>
          <w:rFonts w:hint="eastAsia" w:ascii="宋体" w:hAnsi="宋体" w:eastAsia="宋体" w:cs="宋体"/>
          <w:color w:val="auto"/>
          <w:sz w:val="24"/>
          <w:szCs w:val="24"/>
        </w:rPr>
        <w:t>□</w:t>
      </w:r>
      <w:r>
        <w:rPr>
          <w:rFonts w:hint="eastAsia" w:ascii="宋体" w:hAnsi="宋体" w:eastAsia="宋体" w:cs="宋体"/>
          <w:color w:val="auto"/>
          <w:kern w:val="0"/>
          <w:sz w:val="24"/>
          <w:szCs w:val="24"/>
        </w:rPr>
        <w:t>清包：只提供维保所需工具和劳务，不提供任何免费电梯零部件；</w:t>
      </w:r>
    </w:p>
    <w:p>
      <w:pPr>
        <w:spacing w:line="360" w:lineRule="auto"/>
        <w:ind w:left="1" w:firstLine="537" w:firstLineChars="224"/>
        <w:rPr>
          <w:rFonts w:hint="eastAsia" w:ascii="宋体" w:hAnsi="宋体" w:eastAsia="宋体" w:cs="宋体"/>
          <w:color w:val="auto"/>
          <w:kern w:val="0"/>
          <w:sz w:val="24"/>
          <w:szCs w:val="24"/>
        </w:rPr>
      </w:pPr>
      <w:r>
        <w:rPr>
          <w:rFonts w:hint="eastAsia" w:ascii="宋体" w:hAnsi="宋体" w:eastAsia="宋体" w:cs="宋体"/>
          <w:color w:val="auto"/>
          <w:sz w:val="24"/>
          <w:szCs w:val="24"/>
        </w:rPr>
        <w:sym w:font="Wingdings" w:char="00FE"/>
      </w:r>
      <w:r>
        <w:rPr>
          <w:rFonts w:hint="eastAsia" w:ascii="宋体" w:hAnsi="宋体" w:eastAsia="宋体" w:cs="宋体"/>
          <w:color w:val="auto"/>
          <w:kern w:val="0"/>
          <w:sz w:val="24"/>
          <w:szCs w:val="24"/>
        </w:rPr>
        <w:t>半包：提供维保所需工具和劳务，并免费提供单价在人民币</w:t>
      </w:r>
      <w:r>
        <w:rPr>
          <w:rFonts w:hint="eastAsia" w:ascii="宋体" w:hAnsi="宋体" w:eastAsia="宋体" w:cs="宋体"/>
          <w:color w:val="auto"/>
          <w:kern w:val="0"/>
          <w:sz w:val="24"/>
          <w:szCs w:val="24"/>
          <w:u w:val="single"/>
        </w:rPr>
        <w:t xml:space="preserve"> 200 </w:t>
      </w:r>
      <w:r>
        <w:rPr>
          <w:rFonts w:hint="eastAsia" w:ascii="宋体" w:hAnsi="宋体" w:eastAsia="宋体" w:cs="宋体"/>
          <w:color w:val="auto"/>
          <w:kern w:val="0"/>
          <w:sz w:val="24"/>
          <w:szCs w:val="24"/>
        </w:rPr>
        <w:t>元以下（含本数）电梯零部件（包含润滑油脂）；</w:t>
      </w:r>
      <w:r>
        <w:rPr>
          <w:rFonts w:hint="eastAsia" w:ascii="宋体" w:hAnsi="宋体" w:eastAsia="宋体" w:cs="宋体"/>
          <w:color w:val="auto"/>
          <w:sz w:val="24"/>
          <w:szCs w:val="24"/>
        </w:rPr>
        <w:t>及提供</w:t>
      </w:r>
      <w:r>
        <w:rPr>
          <w:rFonts w:hint="eastAsia" w:ascii="宋体" w:hAnsi="宋体" w:eastAsia="宋体" w:cs="宋体"/>
          <w:color w:val="auto"/>
          <w:kern w:val="0"/>
          <w:sz w:val="24"/>
          <w:szCs w:val="24"/>
        </w:rPr>
        <w:t>合同约定内的每台电梯购买财产保险的电梯责任保险（保险单复印件加盖乙方公司有效公章作为本合同附件）</w:t>
      </w:r>
      <w:r>
        <w:rPr>
          <w:rFonts w:hint="eastAsia" w:ascii="宋体" w:hAnsi="宋体" w:eastAsia="宋体" w:cs="宋体"/>
          <w:color w:val="auto"/>
          <w:sz w:val="24"/>
          <w:szCs w:val="24"/>
        </w:rPr>
        <w:t>；</w:t>
      </w:r>
    </w:p>
    <w:p>
      <w:pPr>
        <w:spacing w:line="360" w:lineRule="auto"/>
        <w:ind w:left="1" w:firstLine="537" w:firstLineChars="224"/>
        <w:rPr>
          <w:rFonts w:hint="eastAsia" w:ascii="宋体" w:hAnsi="宋体" w:eastAsia="宋体" w:cs="宋体"/>
          <w:color w:val="auto"/>
          <w:kern w:val="0"/>
          <w:sz w:val="24"/>
          <w:szCs w:val="24"/>
        </w:rPr>
      </w:pPr>
      <w:r>
        <w:rPr>
          <w:rFonts w:hint="eastAsia" w:ascii="宋体" w:hAnsi="宋体" w:eastAsia="宋体" w:cs="宋体"/>
          <w:color w:val="auto"/>
          <w:sz w:val="24"/>
          <w:szCs w:val="24"/>
        </w:rPr>
        <w:t>□</w:t>
      </w:r>
      <w:r>
        <w:rPr>
          <w:rFonts w:hint="eastAsia" w:ascii="宋体" w:hAnsi="宋体" w:eastAsia="宋体" w:cs="宋体"/>
          <w:color w:val="auto"/>
          <w:kern w:val="0"/>
          <w:sz w:val="24"/>
          <w:szCs w:val="24"/>
        </w:rPr>
        <w:t>全包：提供维保所需工具和劳务，并免费提供大部分电梯零部件。</w:t>
      </w:r>
    </w:p>
    <w:p>
      <w:pPr>
        <w:spacing w:line="360" w:lineRule="auto"/>
        <w:ind w:left="1" w:firstLine="477" w:firstLineChars="199"/>
        <w:rPr>
          <w:rFonts w:hint="eastAsia" w:ascii="宋体" w:hAnsi="宋体" w:eastAsia="宋体" w:cs="宋体"/>
          <w:b/>
          <w:color w:val="auto"/>
          <w:kern w:val="0"/>
          <w:sz w:val="24"/>
          <w:szCs w:val="24"/>
        </w:rPr>
      </w:pPr>
      <w:r>
        <w:rPr>
          <w:rFonts w:hint="eastAsia" w:ascii="宋体" w:hAnsi="宋体" w:eastAsia="宋体" w:cs="宋体"/>
          <w:color w:val="auto"/>
          <w:kern w:val="0"/>
          <w:sz w:val="24"/>
          <w:szCs w:val="24"/>
        </w:rPr>
        <w:t>服务方式为清包或半包的，乙方应提供本合同电梯设备保养和维修所需零部件的价格和人工费用明细表，经甲方确认后作为合同附件；全包的，应在本合同中列明哪些部件和维修工作的费用需甲方另行支付。</w:t>
      </w:r>
    </w:p>
    <w:p>
      <w:pPr>
        <w:spacing w:line="360" w:lineRule="auto"/>
        <w:ind w:left="1" w:firstLine="479" w:firstLineChars="199"/>
        <w:rPr>
          <w:rFonts w:hint="eastAsia" w:ascii="宋体" w:hAnsi="宋体" w:eastAsia="宋体" w:cs="宋体"/>
          <w:color w:val="auto"/>
          <w:kern w:val="0"/>
          <w:sz w:val="24"/>
          <w:szCs w:val="24"/>
        </w:rPr>
      </w:pPr>
      <w:r>
        <w:rPr>
          <w:rFonts w:hint="eastAsia" w:ascii="宋体" w:hAnsi="宋体" w:eastAsia="宋体" w:cs="宋体"/>
          <w:b/>
          <w:color w:val="auto"/>
          <w:kern w:val="0"/>
          <w:sz w:val="24"/>
          <w:szCs w:val="24"/>
        </w:rPr>
        <w:t xml:space="preserve">第三条  </w:t>
      </w:r>
      <w:r>
        <w:rPr>
          <w:rFonts w:hint="eastAsia" w:ascii="宋体" w:hAnsi="宋体" w:eastAsia="宋体" w:cs="宋体"/>
          <w:color w:val="auto"/>
          <w:kern w:val="0"/>
          <w:sz w:val="24"/>
          <w:szCs w:val="24"/>
        </w:rPr>
        <w:t>维保期限</w:t>
      </w:r>
    </w:p>
    <w:p>
      <w:pPr>
        <w:spacing w:line="360" w:lineRule="auto"/>
        <w:ind w:left="1" w:firstLine="477" w:firstLineChars="19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本合同约定维保期限自</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rPr>
        <w:t>日起至</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rPr>
        <w:t>日止，期限届满后续约的，应于期限届满前壹个月重新签订合同。</w:t>
      </w:r>
    </w:p>
    <w:p>
      <w:pPr>
        <w:spacing w:line="360" w:lineRule="auto"/>
        <w:ind w:left="1" w:firstLine="479" w:firstLineChars="199"/>
        <w:rPr>
          <w:rFonts w:hint="eastAsia" w:ascii="宋体" w:hAnsi="宋体" w:eastAsia="宋体" w:cs="宋体"/>
          <w:color w:val="auto"/>
          <w:kern w:val="0"/>
          <w:sz w:val="24"/>
          <w:szCs w:val="24"/>
        </w:rPr>
      </w:pPr>
      <w:r>
        <w:rPr>
          <w:rFonts w:hint="eastAsia" w:ascii="宋体" w:hAnsi="宋体" w:eastAsia="宋体" w:cs="宋体"/>
          <w:b/>
          <w:color w:val="auto"/>
          <w:kern w:val="0"/>
          <w:sz w:val="24"/>
          <w:szCs w:val="24"/>
        </w:rPr>
        <w:t>第四条</w:t>
      </w:r>
      <w:r>
        <w:rPr>
          <w:rFonts w:hint="eastAsia" w:ascii="宋体" w:hAnsi="宋体" w:eastAsia="宋体" w:cs="宋体"/>
          <w:color w:val="auto"/>
          <w:kern w:val="0"/>
          <w:sz w:val="24"/>
          <w:szCs w:val="24"/>
        </w:rPr>
        <w:t xml:space="preserve">  维保费用</w:t>
      </w:r>
    </w:p>
    <w:p>
      <w:pPr>
        <w:spacing w:line="360" w:lineRule="auto"/>
        <w:ind w:firstLine="720" w:firstLineChars="300"/>
        <w:rPr>
          <w:rFonts w:hint="eastAsia" w:ascii="宋体" w:hAnsi="宋体" w:eastAsia="宋体" w:cs="宋体"/>
          <w:color w:val="auto"/>
          <w:kern w:val="0"/>
          <w:sz w:val="24"/>
          <w:szCs w:val="24"/>
          <w:u w:val="none"/>
          <w:lang w:val="en-US" w:eastAsia="zh-CN"/>
        </w:rPr>
      </w:pPr>
      <w:r>
        <w:rPr>
          <w:rFonts w:hint="eastAsia" w:ascii="宋体" w:hAnsi="宋体" w:eastAsia="宋体" w:cs="宋体"/>
          <w:color w:val="auto"/>
          <w:kern w:val="0"/>
          <w:sz w:val="24"/>
          <w:szCs w:val="24"/>
        </w:rPr>
        <w:t>共</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79 </w:t>
      </w:r>
      <w:r>
        <w:rPr>
          <w:rFonts w:hint="eastAsia" w:ascii="宋体" w:hAnsi="宋体" w:eastAsia="宋体" w:cs="宋体"/>
          <w:color w:val="auto"/>
          <w:kern w:val="0"/>
          <w:sz w:val="24"/>
          <w:szCs w:val="24"/>
        </w:rPr>
        <w:t>台电梯，合同期维保费（含税。开普通发票或专用发票）：总计人民币</w:t>
      </w:r>
      <w:r>
        <w:rPr>
          <w:rFonts w:hint="eastAsia" w:ascii="宋体" w:hAnsi="宋体" w:eastAsia="宋体" w:cs="宋体"/>
          <w:color w:val="auto"/>
          <w:kern w:val="0"/>
          <w:sz w:val="24"/>
          <w:szCs w:val="24"/>
          <w:u w:val="single"/>
        </w:rPr>
        <w:t>¥</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rPr>
        <w:t>元，大写：</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none"/>
          <w:lang w:val="en-US" w:eastAsia="zh-CN"/>
        </w:rPr>
        <w:t>。</w:t>
      </w:r>
    </w:p>
    <w:p>
      <w:pPr>
        <w:spacing w:line="360" w:lineRule="auto"/>
        <w:ind w:firstLine="482" w:firstLineChars="200"/>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第五条 结算</w:t>
      </w:r>
    </w:p>
    <w:p>
      <w:pPr>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1、甲方按</w:t>
      </w:r>
      <w:r>
        <w:rPr>
          <w:rFonts w:hint="eastAsia" w:ascii="宋体" w:hAnsi="宋体" w:eastAsia="宋体" w:cs="宋体"/>
          <w:b/>
          <w:color w:val="auto"/>
          <w:kern w:val="0"/>
          <w:sz w:val="24"/>
          <w:szCs w:val="24"/>
        </w:rPr>
        <w:t>（</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 xml:space="preserve">月  </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 xml:space="preserve">季 </w:t>
      </w:r>
      <w:r>
        <w:rPr>
          <w:rFonts w:hint="eastAsia" w:ascii="宋体" w:hAnsi="宋体" w:eastAsia="宋体" w:cs="宋体"/>
          <w:color w:val="auto"/>
          <w:sz w:val="24"/>
          <w:szCs w:val="24"/>
        </w:rPr>
        <w:sym w:font="Wingdings" w:char="00FE"/>
      </w:r>
      <w:r>
        <w:rPr>
          <w:rFonts w:hint="eastAsia" w:ascii="宋体" w:hAnsi="宋体" w:eastAsia="宋体" w:cs="宋体"/>
          <w:color w:val="auto"/>
          <w:kern w:val="0"/>
          <w:sz w:val="24"/>
          <w:szCs w:val="24"/>
        </w:rPr>
        <w:t xml:space="preserve">半年  </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 xml:space="preserve">年 </w:t>
      </w:r>
      <w:r>
        <w:rPr>
          <w:rFonts w:hint="eastAsia" w:ascii="宋体" w:hAnsi="宋体" w:eastAsia="宋体" w:cs="宋体"/>
          <w:b/>
          <w:color w:val="auto"/>
          <w:kern w:val="0"/>
          <w:sz w:val="24"/>
          <w:szCs w:val="24"/>
        </w:rPr>
        <w:t>）</w:t>
      </w:r>
      <w:r>
        <w:rPr>
          <w:rFonts w:hint="eastAsia" w:ascii="宋体" w:hAnsi="宋体" w:eastAsia="宋体" w:cs="宋体"/>
          <w:color w:val="auto"/>
          <w:kern w:val="0"/>
          <w:sz w:val="24"/>
          <w:szCs w:val="24"/>
        </w:rPr>
        <w:t xml:space="preserve">支付维保费， </w:t>
      </w:r>
    </w:p>
    <w:p>
      <w:pPr>
        <w:spacing w:line="360" w:lineRule="auto"/>
        <w:ind w:left="359" w:leftChars="171" w:firstLine="120" w:firstLineChars="5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具体支付时间如下：</w:t>
      </w:r>
    </w:p>
    <w:p>
      <w:pPr>
        <w:spacing w:line="480" w:lineRule="auto"/>
        <w:ind w:firstLine="120" w:firstLineChars="50"/>
        <w:jc w:val="left"/>
        <w:rPr>
          <w:rFonts w:hint="eastAsia" w:ascii="宋体" w:hAnsi="宋体" w:eastAsia="宋体" w:cs="宋体"/>
          <w:color w:val="auto"/>
          <w:sz w:val="24"/>
          <w:szCs w:val="24"/>
        </w:rPr>
      </w:pPr>
      <w:r>
        <w:rPr>
          <w:rFonts w:hint="eastAsia" w:ascii="宋体" w:hAnsi="宋体" w:eastAsia="宋体" w:cs="宋体"/>
          <w:color w:val="auto"/>
          <w:sz w:val="24"/>
          <w:szCs w:val="24"/>
        </w:rPr>
        <w:t>第一次于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日前支付¥</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元，大写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p>
    <w:p>
      <w:pPr>
        <w:spacing w:line="480" w:lineRule="auto"/>
        <w:ind w:firstLine="120" w:firstLineChars="50"/>
        <w:jc w:val="left"/>
        <w:rPr>
          <w:rFonts w:hint="eastAsia" w:ascii="宋体" w:hAnsi="宋体" w:eastAsia="宋体" w:cs="宋体"/>
          <w:color w:val="auto"/>
          <w:sz w:val="24"/>
          <w:szCs w:val="24"/>
        </w:rPr>
      </w:pPr>
      <w:r>
        <w:rPr>
          <w:rFonts w:hint="eastAsia" w:ascii="宋体" w:hAnsi="宋体" w:eastAsia="宋体" w:cs="宋体"/>
          <w:color w:val="auto"/>
          <w:sz w:val="24"/>
          <w:szCs w:val="24"/>
        </w:rPr>
        <w:t>第二次于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日前支付</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大写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p>
    <w:p>
      <w:pPr>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kern w:val="0"/>
          <w:sz w:val="24"/>
          <w:szCs w:val="24"/>
        </w:rPr>
        <w:t>2、甲方需支付超过200元零部件费用的，按</w:t>
      </w:r>
      <w:r>
        <w:rPr>
          <w:rFonts w:hint="eastAsia" w:ascii="宋体" w:hAnsi="宋体" w:eastAsia="宋体" w:cs="宋体"/>
          <w:b/>
          <w:color w:val="auto"/>
          <w:kern w:val="0"/>
          <w:sz w:val="24"/>
          <w:szCs w:val="24"/>
        </w:rPr>
        <w:t>（</w:t>
      </w:r>
      <w:r>
        <w:rPr>
          <w:rFonts w:hint="eastAsia" w:ascii="宋体" w:hAnsi="宋体" w:eastAsia="宋体" w:cs="宋体"/>
          <w:color w:val="auto"/>
          <w:sz w:val="24"/>
          <w:szCs w:val="24"/>
        </w:rPr>
        <w:sym w:font="Wingdings" w:char="00FE"/>
      </w:r>
      <w:r>
        <w:rPr>
          <w:rFonts w:hint="eastAsia" w:ascii="宋体" w:hAnsi="宋体" w:eastAsia="宋体" w:cs="宋体"/>
          <w:color w:val="auto"/>
          <w:kern w:val="0"/>
          <w:sz w:val="24"/>
          <w:szCs w:val="24"/>
        </w:rPr>
        <w:t xml:space="preserve">月  </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 xml:space="preserve">季  </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 xml:space="preserve">半年  </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 xml:space="preserve">年 </w:t>
      </w:r>
      <w:r>
        <w:rPr>
          <w:rFonts w:hint="eastAsia" w:ascii="宋体" w:hAnsi="宋体" w:eastAsia="宋体" w:cs="宋体"/>
          <w:b/>
          <w:color w:val="auto"/>
          <w:kern w:val="0"/>
          <w:sz w:val="24"/>
          <w:szCs w:val="24"/>
        </w:rPr>
        <w:t>）</w:t>
      </w:r>
      <w:r>
        <w:rPr>
          <w:rFonts w:hint="eastAsia" w:ascii="宋体" w:hAnsi="宋体" w:eastAsia="宋体" w:cs="宋体"/>
          <w:color w:val="auto"/>
          <w:kern w:val="0"/>
          <w:sz w:val="24"/>
          <w:szCs w:val="24"/>
        </w:rPr>
        <w:t>支付，支付时间为当次维保结束后的十个工作日之内。</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rPr>
        <w:t>3、支付方式：</w:t>
      </w:r>
      <w:r>
        <w:rPr>
          <w:rFonts w:hint="eastAsia" w:ascii="宋体" w:hAnsi="宋体" w:eastAsia="宋体" w:cs="宋体"/>
          <w:color w:val="auto"/>
          <w:sz w:val="24"/>
          <w:szCs w:val="24"/>
        </w:rPr>
        <w:t xml:space="preserve">□现金   □支票   </w:t>
      </w:r>
      <w:r>
        <w:rPr>
          <w:rFonts w:hint="eastAsia" w:ascii="宋体" w:hAnsi="宋体" w:eastAsia="宋体" w:cs="宋体"/>
          <w:color w:val="auto"/>
          <w:sz w:val="24"/>
          <w:szCs w:val="24"/>
        </w:rPr>
        <w:sym w:font="Wingdings" w:char="00FE"/>
      </w:r>
      <w:r>
        <w:rPr>
          <w:rFonts w:hint="eastAsia" w:ascii="宋体" w:hAnsi="宋体" w:eastAsia="宋体" w:cs="宋体"/>
          <w:color w:val="auto"/>
          <w:sz w:val="24"/>
          <w:szCs w:val="24"/>
        </w:rPr>
        <w:t>汇到乙方</w:t>
      </w:r>
      <w:r>
        <w:rPr>
          <w:rFonts w:hint="eastAsia" w:ascii="宋体" w:hAnsi="宋体" w:eastAsia="宋体" w:cs="宋体"/>
          <w:color w:val="auto"/>
          <w:sz w:val="24"/>
          <w:szCs w:val="24"/>
          <w:lang w:eastAsia="zh-CN"/>
        </w:rPr>
        <w:t>指定账户</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开户行：</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户名：</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账号：</w:t>
      </w:r>
    </w:p>
    <w:p>
      <w:pPr>
        <w:spacing w:line="360" w:lineRule="auto"/>
        <w:rPr>
          <w:rFonts w:hint="eastAsia" w:ascii="宋体" w:hAnsi="宋体" w:eastAsia="宋体" w:cs="宋体"/>
          <w:b/>
          <w:color w:val="auto"/>
          <w:kern w:val="0"/>
          <w:sz w:val="24"/>
          <w:szCs w:val="24"/>
          <w:u w:val="single"/>
        </w:rPr>
      </w:pPr>
      <w:r>
        <w:rPr>
          <w:rFonts w:hint="eastAsia" w:ascii="宋体" w:hAnsi="宋体" w:eastAsia="宋体" w:cs="宋体"/>
          <w:b/>
          <w:color w:val="auto"/>
          <w:sz w:val="24"/>
          <w:szCs w:val="24"/>
        </w:rPr>
        <w:t>第</w:t>
      </w:r>
      <w:r>
        <w:rPr>
          <w:rFonts w:hint="eastAsia" w:ascii="宋体" w:hAnsi="宋体" w:eastAsia="宋体" w:cs="宋体"/>
          <w:b/>
          <w:color w:val="auto"/>
          <w:kern w:val="0"/>
          <w:sz w:val="24"/>
          <w:szCs w:val="24"/>
        </w:rPr>
        <w:t>六</w:t>
      </w:r>
      <w:r>
        <w:rPr>
          <w:rFonts w:hint="eastAsia" w:ascii="宋体" w:hAnsi="宋体" w:eastAsia="宋体" w:cs="宋体"/>
          <w:b/>
          <w:color w:val="auto"/>
          <w:sz w:val="24"/>
          <w:szCs w:val="24"/>
        </w:rPr>
        <w:t xml:space="preserve">条  </w:t>
      </w:r>
      <w:r>
        <w:rPr>
          <w:rFonts w:hint="eastAsia" w:ascii="宋体" w:hAnsi="宋体" w:eastAsia="宋体" w:cs="宋体"/>
          <w:color w:val="auto"/>
          <w:sz w:val="24"/>
          <w:szCs w:val="24"/>
        </w:rPr>
        <w:t>甲方权利、义务</w:t>
      </w:r>
    </w:p>
    <w:p>
      <w:pPr>
        <w:spacing w:line="360" w:lineRule="auto"/>
        <w:ind w:firstLine="361" w:firstLineChars="150"/>
        <w:rPr>
          <w:rFonts w:hint="eastAsia" w:ascii="宋体" w:hAnsi="宋体" w:eastAsia="宋体" w:cs="宋体"/>
          <w:b/>
          <w:color w:val="auto"/>
          <w:sz w:val="24"/>
          <w:szCs w:val="24"/>
        </w:rPr>
      </w:pPr>
      <w:r>
        <w:rPr>
          <w:rFonts w:hint="eastAsia" w:ascii="宋体" w:hAnsi="宋体" w:eastAsia="宋体" w:cs="宋体"/>
          <w:b/>
          <w:color w:val="auto"/>
          <w:sz w:val="24"/>
          <w:szCs w:val="24"/>
        </w:rPr>
        <w:t>1、权利</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（1）有权监督检查乙方依照合同约定实施维保计划的情况，监督经乙方维保后的</w:t>
      </w:r>
      <w:r>
        <w:rPr>
          <w:rFonts w:hint="eastAsia" w:ascii="宋体" w:hAnsi="宋体" w:eastAsia="宋体" w:cs="宋体"/>
          <w:color w:val="auto"/>
          <w:kern w:val="0"/>
          <w:sz w:val="24"/>
          <w:szCs w:val="24"/>
        </w:rPr>
        <w:t>电梯是否符合法律法规、安全技术规范、强制性标准和电梯制造单位的技术要求，监督电梯安全性能是否良好。</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有权检查受乙方委派为本单位电梯提供维保服务人员的持证上岗情况，有权拒绝无证人员开展维保活动。有权要求乙方人员服从本单位现场安全管理，对不服从现场安全管理的乙方人员，有权要求乙方更换人员。</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（3）乙方的维护保养达不到合同约定的维护保养标准或要求的，甲方有权拒绝在维护保养记录上签字。</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（4）除国家规定的法定监督检验与定期检验外，有权委托特种设备检验机构或第三方中介机构对乙方按照合同约定实施维保工作的情况进行评定。</w:t>
      </w:r>
    </w:p>
    <w:p>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2、义务</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（1）建立电梯安全运行的相关管理机构、制度，确保制度、人员、资金落实到位。</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（2）按照合同约定按期支付维保和零部件款。</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eastAsia="宋体" w:cs="宋体"/>
          <w:color w:val="auto"/>
          <w:sz w:val="24"/>
          <w:szCs w:val="24"/>
        </w:rPr>
        <w:t>配备持有电梯安全管理员资格证件的人员</w:t>
      </w:r>
      <w:r>
        <w:rPr>
          <w:rFonts w:hint="eastAsia" w:ascii="宋体" w:hAnsi="宋体" w:eastAsia="宋体" w:cs="宋体"/>
          <w:color w:val="auto"/>
          <w:kern w:val="0"/>
          <w:sz w:val="24"/>
          <w:szCs w:val="24"/>
        </w:rPr>
        <w:t>负责电梯的日常安全管理工作，并在更换电梯管理人员时及时通知乙方。督促</w:t>
      </w:r>
      <w:r>
        <w:rPr>
          <w:rFonts w:hint="eastAsia" w:ascii="宋体" w:hAnsi="宋体" w:eastAsia="宋体" w:cs="宋体"/>
          <w:color w:val="auto"/>
          <w:sz w:val="24"/>
          <w:szCs w:val="24"/>
        </w:rPr>
        <w:t>电梯安全管理人员</w:t>
      </w:r>
      <w:r>
        <w:rPr>
          <w:rFonts w:hint="eastAsia" w:ascii="宋体" w:hAnsi="宋体" w:eastAsia="宋体" w:cs="宋体"/>
          <w:color w:val="auto"/>
          <w:kern w:val="0"/>
          <w:sz w:val="24"/>
          <w:szCs w:val="24"/>
        </w:rPr>
        <w:t>按照电梯使用检查表完成电梯的日常检查工作和每月检查工作，并严格按照电梯钥匙使用管理有关要求对电梯钥匙进行管理，实行钥匙领用登记，不将电梯钥匙交给非持证人员使用。</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rPr>
        <w:t>（4）督促</w:t>
      </w:r>
      <w:r>
        <w:rPr>
          <w:rFonts w:hint="eastAsia" w:ascii="宋体" w:hAnsi="宋体" w:eastAsia="宋体" w:cs="宋体"/>
          <w:color w:val="auto"/>
          <w:sz w:val="24"/>
          <w:szCs w:val="24"/>
        </w:rPr>
        <w:t>电梯安全管理人员</w:t>
      </w:r>
      <w:r>
        <w:rPr>
          <w:rFonts w:hint="eastAsia" w:ascii="宋体" w:hAnsi="宋体" w:eastAsia="宋体" w:cs="宋体"/>
          <w:color w:val="auto"/>
          <w:kern w:val="0"/>
          <w:sz w:val="24"/>
          <w:szCs w:val="24"/>
        </w:rPr>
        <w:t>现场监督检查乙方的电梯保养工作过程和结果、对乙方的维保记录、修理记录签字确认，</w:t>
      </w:r>
      <w:r>
        <w:rPr>
          <w:rFonts w:hint="eastAsia" w:ascii="宋体" w:hAnsi="宋体" w:eastAsia="宋体" w:cs="宋体"/>
          <w:color w:val="auto"/>
          <w:sz w:val="24"/>
          <w:szCs w:val="24"/>
        </w:rPr>
        <w:t>签收乙方提交的与电梯维保工作有关的文件。</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kern w:val="0"/>
          <w:sz w:val="24"/>
          <w:szCs w:val="24"/>
        </w:rPr>
        <w:t>电梯发生故障或异常情况时应当立即停止使用，并做好相关安全防护措施。在电梯的日常使用时间内，确保值班人员可靠接收求救电话、警铃装置发出的求救信号，及时通知乙方抢修，并详细记录相关工作的具体时间。</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w:t>
      </w:r>
      <w:r>
        <w:rPr>
          <w:rFonts w:hint="eastAsia" w:ascii="宋体" w:hAnsi="宋体" w:eastAsia="宋体" w:cs="宋体"/>
          <w:color w:val="auto"/>
          <w:sz w:val="24"/>
          <w:szCs w:val="24"/>
        </w:rPr>
        <w:t>制订有关电梯的应急救援预案（如：电梯困人、消防、电梯水浸、自动扶梯人身伤害等）。每年至少开展一次应急救援演练，确保应急系统运行有效。</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（7）保证电梯供电、消防、防雷、通风等系统安全可靠，满足国家标准规定。</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为乙方提供维保所需的工作环境。保证机房、井道、底坑无漏水、渗水现象。通往机房、底坑、滑轮间、井道安全门的通道畅通、照明充分；确保作业环境中应由甲方提供的安全防护措施到位，避免无关人员进入。</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w:t>
      </w:r>
      <w:r>
        <w:rPr>
          <w:rFonts w:hint="eastAsia" w:ascii="宋体" w:hAnsi="宋体" w:eastAsia="宋体" w:cs="宋体"/>
          <w:color w:val="auto"/>
          <w:sz w:val="24"/>
          <w:szCs w:val="24"/>
        </w:rPr>
        <w:t>）采取有效措施监控电梯使用情况，积极主动开展文明乘梯宣传活动，及时制止乘客不文明乘梯行为或恶意破坏电梯的行为。</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（10）未经</w:t>
      </w:r>
      <w:r>
        <w:rPr>
          <w:rFonts w:hint="eastAsia" w:ascii="宋体" w:hAnsi="宋体" w:eastAsia="宋体" w:cs="宋体"/>
          <w:color w:val="auto"/>
          <w:kern w:val="0"/>
          <w:sz w:val="24"/>
          <w:szCs w:val="24"/>
        </w:rPr>
        <w:t>乙方书面许可不得允许非乙方人员从事与电梯维保有关的工作。</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（11）应认真审核乙方</w:t>
      </w:r>
      <w:r>
        <w:rPr>
          <w:rFonts w:hint="eastAsia" w:ascii="宋体" w:hAnsi="宋体" w:eastAsia="宋体" w:cs="宋体"/>
          <w:color w:val="auto"/>
          <w:kern w:val="0"/>
          <w:sz w:val="24"/>
          <w:szCs w:val="24"/>
        </w:rPr>
        <w:t>书面提出的更换电梯零部件要求，并在乙方书面要求的期限内书面予以答复。</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（12）在电梯使用标志所标注的下次检验日期届满前1个月，向特种设备检验机构提出定期检验申请。</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（13）电梯因不可抗拒因素（如战争、火灾、水浸、风暴和地震等）所造成设备损坏、丢失的，自行承担全部责任。</w:t>
      </w:r>
    </w:p>
    <w:p>
      <w:pPr>
        <w:spacing w:line="360" w:lineRule="auto"/>
        <w:ind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第七条 乙方权利、义务</w:t>
      </w:r>
    </w:p>
    <w:p>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kern w:val="0"/>
          <w:sz w:val="24"/>
          <w:szCs w:val="24"/>
        </w:rPr>
        <w:t>1、</w:t>
      </w:r>
      <w:r>
        <w:rPr>
          <w:rFonts w:hint="eastAsia" w:ascii="宋体" w:hAnsi="宋体" w:eastAsia="宋体" w:cs="宋体"/>
          <w:b/>
          <w:color w:val="auto"/>
          <w:sz w:val="24"/>
          <w:szCs w:val="24"/>
        </w:rPr>
        <w:t>权利</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（1）有权要求甲方提供维保所需的工作环境，查询电梯相关资料。</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（2）当电梯存在事故隐患时，乙方有权采取停梯措施及阻止冒险作业的权利。</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（3）有权拒绝甲方提出的影响电梯安全运行的要求。</w:t>
      </w:r>
    </w:p>
    <w:p>
      <w:pPr>
        <w:spacing w:line="360" w:lineRule="auto"/>
        <w:ind w:left="840" w:leftChars="228" w:hanging="361" w:hangingChars="150"/>
        <w:rPr>
          <w:rFonts w:hint="eastAsia" w:ascii="宋体" w:hAnsi="宋体" w:eastAsia="宋体" w:cs="宋体"/>
          <w:color w:val="auto"/>
          <w:sz w:val="24"/>
          <w:szCs w:val="24"/>
        </w:rPr>
      </w:pPr>
      <w:r>
        <w:rPr>
          <w:rFonts w:hint="eastAsia" w:ascii="宋体" w:hAnsi="宋体" w:eastAsia="宋体" w:cs="宋体"/>
          <w:b/>
          <w:color w:val="auto"/>
          <w:sz w:val="24"/>
          <w:szCs w:val="24"/>
        </w:rPr>
        <w:t>2、义务</w:t>
      </w:r>
    </w:p>
    <w:p>
      <w:pPr>
        <w:spacing w:line="360" w:lineRule="auto"/>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kern w:val="0"/>
          <w:sz w:val="24"/>
          <w:szCs w:val="24"/>
        </w:rPr>
        <w:t>按照</w:t>
      </w:r>
      <w:r>
        <w:rPr>
          <w:rFonts w:hint="eastAsia" w:ascii="宋体" w:hAnsi="宋体" w:eastAsia="宋体" w:cs="宋体"/>
          <w:bCs/>
          <w:color w:val="auto"/>
          <w:sz w:val="24"/>
          <w:szCs w:val="24"/>
        </w:rPr>
        <w:t>TSG T5002-2017</w:t>
      </w:r>
      <w:r>
        <w:rPr>
          <w:rFonts w:hint="eastAsia" w:ascii="宋体" w:hAnsi="宋体" w:eastAsia="宋体" w:cs="宋体"/>
          <w:color w:val="auto"/>
          <w:kern w:val="0"/>
          <w:sz w:val="24"/>
          <w:szCs w:val="24"/>
        </w:rPr>
        <w:t>《电梯维护保养规则》并根据</w:t>
      </w:r>
      <w:r>
        <w:rPr>
          <w:rFonts w:hint="eastAsia" w:ascii="宋体" w:hAnsi="宋体" w:eastAsia="宋体" w:cs="宋体"/>
          <w:color w:val="auto"/>
          <w:sz w:val="24"/>
          <w:szCs w:val="24"/>
        </w:rPr>
        <w:t>电梯的使用情况和设备状况，经双方协商确认后，提供全年保养计划和各项定期保养计划的具体实施时间表。每台每次保养时间不得少于合同约定的相应最少保养时间。如需调整原保养计划，应提前</w:t>
      </w:r>
      <w:r>
        <w:rPr>
          <w:rFonts w:hint="eastAsia" w:ascii="宋体" w:hAnsi="宋体" w:eastAsia="宋体" w:cs="宋体"/>
          <w:color w:val="auto"/>
          <w:sz w:val="24"/>
          <w:szCs w:val="24"/>
          <w:u w:val="single"/>
        </w:rPr>
        <w:t xml:space="preserve"> 5 </w:t>
      </w:r>
      <w:r>
        <w:rPr>
          <w:rFonts w:hint="eastAsia" w:ascii="宋体" w:hAnsi="宋体" w:eastAsia="宋体" w:cs="宋体"/>
          <w:color w:val="auto"/>
          <w:sz w:val="24"/>
          <w:szCs w:val="24"/>
        </w:rPr>
        <w:t xml:space="preserve">日通知甲方并经甲方同意后方可调整，但应保证保养时间间隔不得超过15日； </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（2）乙方对其维保的电梯安全性能负责，实施日常维护保养后的电梯应当符合《电梯维修规范》（GB/T18775）、《电梯制造与安装安全规范》（GB 7588）和《自动扶梯、垃圾梯和自动人行道的制造与安装安全规范》（GB 16899）及TSGT5002-2017《电梯维护保养规则》的相关规定。</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eastAsia="宋体" w:cs="宋体"/>
          <w:color w:val="auto"/>
          <w:kern w:val="0"/>
          <w:sz w:val="24"/>
          <w:szCs w:val="24"/>
          <w:lang w:val="en-US" w:eastAsia="zh-CN"/>
        </w:rPr>
        <w:t>由于电梯数量较多，要求维保单位委派不少于两名持证人员根据委托方的排班全时制驻点办公，未按要求驻点发现一次扣500元。乙方提供24小时的紧急救援服务，</w:t>
      </w:r>
      <w:r>
        <w:rPr>
          <w:rFonts w:hint="eastAsia" w:ascii="宋体" w:hAnsi="宋体" w:eastAsia="宋体" w:cs="宋体"/>
          <w:b/>
          <w:color w:val="auto"/>
          <w:sz w:val="24"/>
          <w:szCs w:val="24"/>
        </w:rPr>
        <w:t>乙方维保负责人</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。联系电话</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 xml:space="preserve">， </w:t>
      </w:r>
      <w:r>
        <w:rPr>
          <w:rFonts w:hint="eastAsia" w:ascii="宋体" w:hAnsi="宋体" w:eastAsia="宋体" w:cs="宋体"/>
          <w:b/>
          <w:color w:val="auto"/>
          <w:kern w:val="0"/>
          <w:sz w:val="24"/>
          <w:szCs w:val="24"/>
        </w:rPr>
        <w:t>24小时紧急救援服务热线电话：</w:t>
      </w:r>
      <w:r>
        <w:rPr>
          <w:rFonts w:hint="eastAsia" w:ascii="宋体" w:hAnsi="宋体" w:eastAsia="宋体" w:cs="宋体"/>
          <w:b/>
          <w:color w:val="auto"/>
          <w:kern w:val="0"/>
          <w:sz w:val="24"/>
          <w:szCs w:val="24"/>
          <w:u w:val="single"/>
        </w:rPr>
        <w:t xml:space="preserve"> </w:t>
      </w:r>
      <w:r>
        <w:rPr>
          <w:rFonts w:hint="eastAsia" w:ascii="宋体" w:hAnsi="宋体" w:eastAsia="宋体" w:cs="宋体"/>
          <w:b/>
          <w:color w:val="auto"/>
          <w:kern w:val="0"/>
          <w:sz w:val="24"/>
          <w:szCs w:val="24"/>
          <w:u w:val="single"/>
          <w:lang w:val="en-US" w:eastAsia="zh-CN"/>
        </w:rPr>
        <w:t xml:space="preserve">                     </w:t>
      </w:r>
      <w:r>
        <w:rPr>
          <w:rFonts w:hint="eastAsia" w:ascii="宋体" w:hAnsi="宋体" w:eastAsia="宋体" w:cs="宋体"/>
          <w:b/>
          <w:color w:val="auto"/>
          <w:kern w:val="0"/>
          <w:sz w:val="24"/>
          <w:szCs w:val="24"/>
          <w:u w:val="single"/>
        </w:rPr>
        <w:t xml:space="preserve"> </w:t>
      </w:r>
      <w:r>
        <w:rPr>
          <w:rFonts w:hint="eastAsia" w:ascii="宋体" w:hAnsi="宋体" w:eastAsia="宋体" w:cs="宋体"/>
          <w:b/>
          <w:color w:val="auto"/>
          <w:kern w:val="0"/>
          <w:sz w:val="24"/>
          <w:szCs w:val="24"/>
        </w:rPr>
        <w:t xml:space="preserve"> ，投诉电话：</w:t>
      </w:r>
      <w:r>
        <w:rPr>
          <w:rFonts w:hint="eastAsia" w:ascii="宋体" w:hAnsi="宋体" w:eastAsia="宋体" w:cs="宋体"/>
          <w:b/>
          <w:color w:val="auto"/>
          <w:kern w:val="0"/>
          <w:sz w:val="24"/>
          <w:szCs w:val="24"/>
          <w:u w:val="single"/>
        </w:rPr>
        <w:t xml:space="preserve"> </w:t>
      </w:r>
      <w:r>
        <w:rPr>
          <w:rFonts w:hint="eastAsia" w:ascii="宋体" w:hAnsi="宋体" w:eastAsia="宋体" w:cs="宋体"/>
          <w:b/>
          <w:color w:val="auto"/>
          <w:kern w:val="0"/>
          <w:sz w:val="24"/>
          <w:szCs w:val="24"/>
          <w:u w:val="single"/>
          <w:lang w:val="en-US" w:eastAsia="zh-CN"/>
        </w:rPr>
        <w:t xml:space="preserve">      </w:t>
      </w:r>
      <w:r>
        <w:rPr>
          <w:rFonts w:hint="eastAsia" w:ascii="宋体" w:hAnsi="宋体" w:eastAsia="宋体" w:cs="宋体"/>
          <w:b/>
          <w:color w:val="auto"/>
          <w:kern w:val="0"/>
          <w:sz w:val="24"/>
          <w:szCs w:val="24"/>
          <w:u w:val="single"/>
        </w:rPr>
        <w:t xml:space="preserve"> </w:t>
      </w:r>
      <w:r>
        <w:rPr>
          <w:rFonts w:hint="eastAsia" w:ascii="宋体" w:hAnsi="宋体" w:eastAsia="宋体" w:cs="宋体"/>
          <w:b/>
          <w:color w:val="auto"/>
          <w:kern w:val="0"/>
          <w:sz w:val="24"/>
          <w:szCs w:val="24"/>
        </w:rPr>
        <w:t>。</w:t>
      </w:r>
      <w:r>
        <w:rPr>
          <w:rFonts w:hint="eastAsia" w:ascii="宋体" w:hAnsi="宋体" w:eastAsia="宋体" w:cs="宋体"/>
          <w:color w:val="auto"/>
          <w:kern w:val="0"/>
          <w:sz w:val="24"/>
          <w:szCs w:val="24"/>
        </w:rPr>
        <w:t>当电梯发生困人故障，乙方应在接到甲方通知后30分钟内赶赴现场实施紧急救援；电梯发生其他故障，乙方应在接到甲方通知后</w:t>
      </w:r>
      <w:r>
        <w:rPr>
          <w:rFonts w:hint="eastAsia" w:ascii="宋体" w:hAnsi="宋体" w:eastAsia="宋体" w:cs="宋体"/>
          <w:b/>
          <w:color w:val="auto"/>
          <w:kern w:val="0"/>
          <w:sz w:val="24"/>
          <w:szCs w:val="24"/>
          <w:u w:val="single"/>
        </w:rPr>
        <w:t>30分钟内赶到现场实施抢修</w:t>
      </w:r>
      <w:r>
        <w:rPr>
          <w:rFonts w:hint="eastAsia" w:ascii="宋体" w:hAnsi="宋体" w:eastAsia="宋体" w:cs="宋体"/>
          <w:color w:val="auto"/>
          <w:kern w:val="0"/>
          <w:sz w:val="24"/>
          <w:szCs w:val="24"/>
        </w:rPr>
        <w:t>。</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kern w:val="0"/>
          <w:sz w:val="24"/>
          <w:szCs w:val="24"/>
        </w:rPr>
        <w:t>现场作业人员应当取得相应的《特种设备作业人员证》。</w:t>
      </w:r>
      <w:r>
        <w:rPr>
          <w:rFonts w:hint="eastAsia" w:ascii="宋体" w:hAnsi="宋体" w:eastAsia="宋体" w:cs="宋体"/>
          <w:color w:val="auto"/>
          <w:sz w:val="24"/>
          <w:szCs w:val="24"/>
        </w:rPr>
        <w:t>为有效实施保养计划，乙方应安排熟悉所维保电梯原理、结构、性能、安全要求的特种设备作业人员负责维保工作，并督促其严格按照产品工艺要求、安全及技术规范进行维保。</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（5）</w:t>
      </w:r>
      <w:r>
        <w:rPr>
          <w:rFonts w:hint="eastAsia" w:ascii="宋体" w:hAnsi="宋体" w:eastAsia="宋体" w:cs="宋体"/>
          <w:color w:val="auto"/>
          <w:kern w:val="0"/>
          <w:sz w:val="24"/>
          <w:szCs w:val="24"/>
        </w:rPr>
        <w:t>作业过程中应服从甲方现场安全管理，落实现场安全防护措施，保证作业安全。需要安全监护作业的内容应书面告知甲方，作业时，作业人员不得少于二人。</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rPr>
        <w:t>（6）现场需采取停梯措施时，应立即通知甲方并按规范作业要求做好安全防护措施及时组织抢修。未按规范要求实施作业的，由此引发的责任及产生的全部费用均由乙方自行承担。</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rPr>
        <w:t>（7）</w:t>
      </w:r>
      <w:r>
        <w:rPr>
          <w:rFonts w:hint="eastAsia" w:ascii="宋体" w:hAnsi="宋体" w:eastAsia="宋体" w:cs="宋体"/>
          <w:color w:val="auto"/>
          <w:sz w:val="24"/>
          <w:szCs w:val="24"/>
        </w:rPr>
        <w:t>根据甲方的故障统计记录，乙方应至少每季度一次提出故障分析报告。报告中应包含电梯故障的统计分析、整改措施和预防措施，以及有关电梯使用管理的合理化建议。</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（8）乙方应在本合同签订后对电梯进行一次全面的年度自检，以发现上个维保周期中电梯存在的安全隐患，并报送使用单位，及时进行维修。应当配合电梯检验检测机构对电梯的定期检验，并</w:t>
      </w:r>
      <w:r>
        <w:rPr>
          <w:rFonts w:hint="eastAsia" w:ascii="宋体" w:hAnsi="宋体" w:eastAsia="宋体" w:cs="宋体"/>
          <w:color w:val="auto"/>
          <w:sz w:val="24"/>
          <w:szCs w:val="24"/>
        </w:rPr>
        <w:t>参与电梯安全管理活动。</w:t>
      </w:r>
      <w:r>
        <w:rPr>
          <w:rFonts w:hint="eastAsia" w:ascii="宋体" w:hAnsi="宋体" w:eastAsia="宋体" w:cs="宋体"/>
          <w:color w:val="auto"/>
          <w:kern w:val="0"/>
          <w:sz w:val="24"/>
          <w:szCs w:val="24"/>
        </w:rPr>
        <w:t>负责完成年检中发生的属于本合同范围内的整改工作。</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（9）乙方应在每年</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rPr>
        <w:t>日前向市质监局报备本单位所承担维保电梯清单，如维保情况有变动，在变动后5个工作日内向市质监局申报变动情况。</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（10）乙方应在维保后3日内将规定格式的电梯维保记录，张贴在电梯轿厢、电梯过道、小区公告栏或在轿厢内电子显示屏内滚动公示，接受用户监督。此外，需将维保记录公示情况拍照留存备查。</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乙方应当妥善保管电梯图纸及相关资料，并在合同终止后交还甲方。应当协助甲方建立健全安全管理制度、安全技术档案、应急救援预案，配合甲方开展应急救援演练及相应的培训工作。应在每个电梯机房处制作张贴《特种设备作业人员证》、电梯机房管理制度等应急救援安全操作措施。</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（12）应按照福建省特种设备协会拟定的《福建省电梯维保行业自律公约》及《电梯维护保养最低成本指导价》要求对使用单位进行维保价格公示。同时与甲方签订合同中日常保养期限不能少于一年。</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rPr>
        <w:t>（13</w:t>
      </w:r>
      <w:r>
        <w:rPr>
          <w:rFonts w:hint="eastAsia" w:ascii="宋体" w:hAnsi="宋体" w:eastAsia="宋体" w:cs="宋体"/>
          <w:color w:val="auto"/>
          <w:sz w:val="24"/>
          <w:szCs w:val="24"/>
        </w:rPr>
        <w:t>）乙方不得以任何形式将维保工作非法分包、转包。</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（14）会议中心召开会议期间，乙方必须提前对电梯运行状况进行全面检查，确保电梯正常运行，并派维保人员现场值班。</w:t>
      </w:r>
    </w:p>
    <w:p>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 xml:space="preserve">第八条  </w:t>
      </w:r>
      <w:r>
        <w:rPr>
          <w:rFonts w:hint="eastAsia" w:ascii="宋体" w:hAnsi="宋体" w:eastAsia="宋体" w:cs="宋体"/>
          <w:color w:val="auto"/>
          <w:sz w:val="24"/>
          <w:szCs w:val="24"/>
        </w:rPr>
        <w:t>其他约定</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1、乙方已于</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日对本合同约定的电梯进行详细的检查，检查结果经甲方签字确认，并作为电梯现状记录由甲、乙双方保存。</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sz w:val="24"/>
          <w:szCs w:val="24"/>
        </w:rPr>
        <w:t>甲方要求乙方提供本合同约定内容以外服务的，如强化保养、增加保养频次、安全保障需求、</w:t>
      </w:r>
      <w:r>
        <w:rPr>
          <w:rFonts w:hint="eastAsia" w:ascii="宋体" w:hAnsi="宋体" w:eastAsia="宋体" w:cs="宋体"/>
          <w:color w:val="auto"/>
          <w:kern w:val="0"/>
          <w:sz w:val="24"/>
          <w:szCs w:val="24"/>
        </w:rPr>
        <w:t>驻场作业服务、</w:t>
      </w:r>
      <w:r>
        <w:rPr>
          <w:rFonts w:hint="eastAsia" w:ascii="宋体" w:hAnsi="宋体" w:eastAsia="宋体" w:cs="宋体"/>
          <w:color w:val="auto"/>
          <w:sz w:val="24"/>
          <w:szCs w:val="24"/>
        </w:rPr>
        <w:t>增加检测内容和频次</w:t>
      </w:r>
      <w:r>
        <w:rPr>
          <w:rFonts w:hint="eastAsia" w:ascii="宋体" w:hAnsi="宋体" w:eastAsia="宋体" w:cs="宋体"/>
          <w:color w:val="auto"/>
          <w:kern w:val="0"/>
          <w:sz w:val="24"/>
          <w:szCs w:val="24"/>
        </w:rPr>
        <w:t>等，</w:t>
      </w:r>
      <w:r>
        <w:rPr>
          <w:rFonts w:hint="eastAsia" w:ascii="宋体" w:hAnsi="宋体" w:eastAsia="宋体" w:cs="宋体"/>
          <w:color w:val="auto"/>
          <w:sz w:val="24"/>
          <w:szCs w:val="24"/>
        </w:rPr>
        <w:t>双方均应以书面形式另行约定。</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eastAsia="宋体" w:cs="宋体"/>
          <w:color w:val="auto"/>
          <w:kern w:val="0"/>
          <w:sz w:val="24"/>
          <w:szCs w:val="24"/>
          <w:lang w:val="en-US" w:eastAsia="zh-CN"/>
        </w:rPr>
        <w:t>每次维保记录需由电梯安全员、工程人员、项目经理确认。</w:t>
      </w:r>
      <w:r>
        <w:rPr>
          <w:rFonts w:hint="eastAsia" w:ascii="宋体" w:hAnsi="宋体" w:eastAsia="宋体" w:cs="宋体"/>
          <w:color w:val="auto"/>
          <w:sz w:val="24"/>
          <w:szCs w:val="24"/>
        </w:rPr>
        <w:t>维保记录是记载电梯运行、维护、保养的依据。每台电梯均应当建立独立的</w:t>
      </w:r>
      <w:r>
        <w:rPr>
          <w:rFonts w:hint="eastAsia" w:ascii="宋体" w:hAnsi="宋体" w:eastAsia="宋体" w:cs="宋体"/>
          <w:color w:val="auto"/>
          <w:kern w:val="0"/>
          <w:sz w:val="24"/>
          <w:szCs w:val="24"/>
        </w:rPr>
        <w:t>维保记录。维保记录应当一式两份，甲乙双方各保存一份，保存时间为4 年。维修与抢修记录均应当长期保存。</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4、根据电梯的现状，甲乙双方约定非使用原因导致的电梯困人故障次数每年每台电梯不超过</w:t>
      </w:r>
      <w:r>
        <w:rPr>
          <w:rFonts w:hint="eastAsia" w:ascii="宋体" w:hAnsi="宋体" w:eastAsia="宋体" w:cs="宋体"/>
          <w:color w:val="auto"/>
          <w:kern w:val="0"/>
          <w:sz w:val="24"/>
          <w:szCs w:val="24"/>
          <w:u w:val="single"/>
        </w:rPr>
        <w:t xml:space="preserve"> 2 </w:t>
      </w:r>
      <w:r>
        <w:rPr>
          <w:rFonts w:hint="eastAsia" w:ascii="宋体" w:hAnsi="宋体" w:eastAsia="宋体" w:cs="宋体"/>
          <w:color w:val="auto"/>
          <w:kern w:val="0"/>
          <w:sz w:val="24"/>
          <w:szCs w:val="24"/>
        </w:rPr>
        <w:t>次。</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5、乙方承诺为合同约定内的每台电梯购买财产保险的电梯责任保险。如乙方未能按承诺投保，所造成的损失由乙方按最高保险赔付金额，损失可从维保费中扣除。</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6、乙方承诺供应甲方配件时，在市场价格的基础上，下调</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7、因技术或配件供应不及时，造成维修停梯的，除电脑主板外，电梯停梯时间最长不得超过  小时。</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8、甲乙双方应派专人按季共同对电梯维保工作计划执行情况进行稽核。</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9、年检：质监局对电梯年检发现的由于乙方维保原因造成安全检测不合格项的整改及费用由乙方承担。</w:t>
      </w:r>
    </w:p>
    <w:p>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第九条  </w:t>
      </w:r>
      <w:r>
        <w:rPr>
          <w:rFonts w:hint="eastAsia" w:ascii="宋体" w:hAnsi="宋体" w:eastAsia="宋体" w:cs="宋体"/>
          <w:color w:val="auto"/>
          <w:sz w:val="24"/>
          <w:szCs w:val="24"/>
        </w:rPr>
        <w:t>违约责任</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1、一方当事人未按约定履行义务给对方造成直接损失（包括但不限于经济损失、诉讼费、保全费、评估鉴定费、律师费等）的，应当承担相应责任。</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2、一方当事人无法继续履行合同，应当及时通知对方，并承担因合同解除而给对方造成的直接经济损失。</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3、甲方无正当理由未按照约定期限支付费用的，经双方确认为无正当理由每延误一日应当向乙方支付延误部分费用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的违约金。超过双方约定期限</w:t>
      </w:r>
      <w:r>
        <w:rPr>
          <w:rFonts w:hint="eastAsia" w:ascii="宋体" w:hAnsi="宋体" w:eastAsia="宋体" w:cs="宋体"/>
          <w:color w:val="auto"/>
          <w:sz w:val="24"/>
          <w:szCs w:val="24"/>
          <w:u w:val="single"/>
        </w:rPr>
        <w:t xml:space="preserve"> 30 </w:t>
      </w:r>
      <w:r>
        <w:rPr>
          <w:rFonts w:hint="eastAsia" w:ascii="宋体" w:hAnsi="宋体" w:eastAsia="宋体" w:cs="宋体"/>
          <w:color w:val="auto"/>
          <w:sz w:val="24"/>
          <w:szCs w:val="24"/>
        </w:rPr>
        <w:t>日时，本合同自动终止，赔偿事项依照</w:t>
      </w:r>
      <w:r>
        <w:rPr>
          <w:rFonts w:hint="eastAsia" w:ascii="宋体" w:hAnsi="宋体" w:eastAsia="宋体" w:cs="宋体"/>
          <w:color w:val="auto"/>
          <w:sz w:val="24"/>
          <w:szCs w:val="24"/>
          <w:lang w:val="en-US" w:eastAsia="zh-CN"/>
        </w:rPr>
        <w:t>相关法律法规</w:t>
      </w:r>
      <w:r>
        <w:rPr>
          <w:rFonts w:hint="eastAsia" w:ascii="宋体" w:hAnsi="宋体" w:eastAsia="宋体" w:cs="宋体"/>
          <w:color w:val="auto"/>
          <w:sz w:val="24"/>
          <w:szCs w:val="24"/>
        </w:rPr>
        <w:t>执行。</w:t>
      </w:r>
    </w:p>
    <w:p>
      <w:pPr>
        <w:spacing w:line="360" w:lineRule="auto"/>
        <w:ind w:right="34" w:rightChars="16"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4、甲方违反约定</w:t>
      </w:r>
      <w:r>
        <w:rPr>
          <w:rFonts w:hint="eastAsia" w:ascii="宋体" w:hAnsi="宋体" w:eastAsia="宋体" w:cs="宋体"/>
          <w:color w:val="auto"/>
          <w:kern w:val="0"/>
          <w:sz w:val="24"/>
          <w:szCs w:val="24"/>
        </w:rPr>
        <w:t>允许非乙方人员从事电梯维保工作的，应当按照</w:t>
      </w:r>
      <w:r>
        <w:rPr>
          <w:rFonts w:hint="eastAsia" w:ascii="宋体" w:hAnsi="宋体" w:eastAsia="宋体" w:cs="宋体"/>
          <w:color w:val="auto"/>
          <w:sz w:val="24"/>
          <w:szCs w:val="24"/>
        </w:rPr>
        <w:t>标准支付违约金。</w:t>
      </w:r>
    </w:p>
    <w:p>
      <w:pPr>
        <w:spacing w:line="360" w:lineRule="auto"/>
        <w:ind w:right="34" w:rightChars="16"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5、因电梯使用管理原因（非电梯维保原因）导致人身伤亡或设备损坏、零部件丢失的，由甲方自行承担全部责任。</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6、若未按乙方的书面要求期限同意更换应该更换的电梯零部件而导致电梯故障或存在安全隐患的，</w:t>
      </w:r>
      <w:r>
        <w:rPr>
          <w:rFonts w:hint="eastAsia" w:ascii="宋体" w:hAnsi="宋体" w:eastAsia="宋体" w:cs="宋体"/>
          <w:color w:val="auto"/>
          <w:sz w:val="24"/>
          <w:szCs w:val="24"/>
        </w:rPr>
        <w:t>由甲方</w:t>
      </w:r>
      <w:r>
        <w:rPr>
          <w:rFonts w:hint="eastAsia" w:ascii="宋体" w:hAnsi="宋体" w:eastAsia="宋体" w:cs="宋体"/>
          <w:color w:val="auto"/>
          <w:kern w:val="0"/>
          <w:sz w:val="24"/>
          <w:szCs w:val="24"/>
        </w:rPr>
        <w:t>自行承担责任。</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7、乙方违反约定，</w:t>
      </w:r>
      <w:r>
        <w:rPr>
          <w:rFonts w:hint="eastAsia" w:ascii="宋体" w:hAnsi="宋体" w:eastAsia="宋体" w:cs="宋体"/>
          <w:color w:val="auto"/>
          <w:kern w:val="0"/>
          <w:sz w:val="24"/>
          <w:szCs w:val="24"/>
        </w:rPr>
        <w:t>作业过程中未服从甲方现场安全管理落实现场安全防护措施，或需要安全监护的作业时作业人员只有一人，或保养时间不足，甲方可拒付当次作业或保养的当台当月保养费。</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8、乙方维保工作不符合合同约定的维保标准或要求的，乙方应当返工，并按照该台电梯保养费总额的10 %标准支付违约金。</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9、在电梯维保作业过程中因维保原因导致人身伤亡或设备损坏、零部件丢失的，由乙方承担全部民事责任。</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10、因维保原因导致电梯检验不合格的，由乙方承担电梯复检费用。</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11、现场需采取停梯措施时，乙方未按规范要求实施作业的，应向甲方支付违约金500元/次，违约金可从维保费用中扣除。</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12、如因乙方原因导致困人的，乙方应向甲方支付违约金500元/次，违约金可从维保费用中扣除。同时甲方有权提前终止本合同。</w:t>
      </w:r>
    </w:p>
    <w:p>
      <w:pPr>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13、对电梯维保工作计划执行情况进行稽核时，发现维保不到位、未按合同以及行业规范执行维保的，乙方应向甲方支付违约金500元/次，违约金可从维保费用中扣除。</w:t>
      </w:r>
    </w:p>
    <w:p>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第十条  </w:t>
      </w:r>
      <w:r>
        <w:rPr>
          <w:rFonts w:hint="eastAsia" w:ascii="宋体" w:hAnsi="宋体" w:eastAsia="宋体" w:cs="宋体"/>
          <w:color w:val="auto"/>
          <w:sz w:val="24"/>
          <w:szCs w:val="24"/>
        </w:rPr>
        <w:t>合同的解除</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1、乙方不履行或不完全履行本合同约定条款的，甲方可以提前解除合同并不承担违约责任。</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2、甲乙双方协商一致，可以解除合同。</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3、任何一方违约导致合同无法继续履行的，另一方可以解除合同。此外，任何一方不得单方解除合同。</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4、如甲方物业服务合同发生变化需提前解除合同时，甲方应提前告知乙方并不承担违约责任。</w:t>
      </w:r>
    </w:p>
    <w:p>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第十一条  </w:t>
      </w:r>
      <w:r>
        <w:rPr>
          <w:rFonts w:hint="eastAsia" w:ascii="宋体" w:hAnsi="宋体" w:eastAsia="宋体" w:cs="宋体"/>
          <w:color w:val="auto"/>
          <w:sz w:val="24"/>
          <w:szCs w:val="24"/>
        </w:rPr>
        <w:t>争议解决方式</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本合同在履行过程中发生的争议，由双方当事人协商解决或向有关部门申请调解，协商、调解不成的，按照下列第</w:t>
      </w:r>
      <w:r>
        <w:rPr>
          <w:rFonts w:hint="eastAsia" w:ascii="宋体" w:hAnsi="宋体" w:eastAsia="宋体" w:cs="宋体"/>
          <w:color w:val="auto"/>
          <w:sz w:val="24"/>
          <w:szCs w:val="24"/>
          <w:u w:val="single"/>
        </w:rPr>
        <w:t xml:space="preserve"> 1</w:t>
      </w:r>
      <w:r>
        <w:rPr>
          <w:rFonts w:hint="eastAsia" w:ascii="宋体" w:hAnsi="宋体" w:eastAsia="宋体" w:cs="宋体"/>
          <w:color w:val="auto"/>
          <w:sz w:val="24"/>
          <w:szCs w:val="24"/>
        </w:rPr>
        <w:t>种方式解决（任选一种）：</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1、依法向</w:t>
      </w:r>
      <w:r>
        <w:rPr>
          <w:rFonts w:hint="eastAsia" w:ascii="宋体" w:hAnsi="宋体" w:eastAsia="宋体" w:cs="宋体"/>
          <w:color w:val="auto"/>
          <w:sz w:val="24"/>
          <w:szCs w:val="24"/>
          <w:u w:val="single"/>
        </w:rPr>
        <w:t>甲方所在地</w:t>
      </w:r>
      <w:r>
        <w:rPr>
          <w:rFonts w:hint="eastAsia" w:ascii="宋体" w:hAnsi="宋体" w:eastAsia="宋体" w:cs="宋体"/>
          <w:color w:val="auto"/>
          <w:sz w:val="24"/>
          <w:szCs w:val="24"/>
        </w:rPr>
        <w:t>人民法院起诉；</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2、提交</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仲裁委员会仲裁。</w:t>
      </w:r>
    </w:p>
    <w:p>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第十二条 </w:t>
      </w:r>
      <w:r>
        <w:rPr>
          <w:rFonts w:hint="eastAsia" w:ascii="宋体" w:hAnsi="宋体" w:eastAsia="宋体" w:cs="宋体"/>
          <w:color w:val="auto"/>
          <w:sz w:val="24"/>
          <w:szCs w:val="24"/>
        </w:rPr>
        <w:t xml:space="preserve"> 附则</w:t>
      </w:r>
    </w:p>
    <w:p>
      <w:pPr>
        <w:spacing w:line="360" w:lineRule="auto"/>
        <w:ind w:left="1" w:firstLine="477" w:firstLineChars="199"/>
        <w:rPr>
          <w:rFonts w:hint="eastAsia" w:ascii="宋体" w:hAnsi="宋体" w:eastAsia="宋体" w:cs="宋体"/>
          <w:color w:val="auto"/>
          <w:sz w:val="24"/>
          <w:szCs w:val="24"/>
          <w:u w:val="single"/>
        </w:rPr>
      </w:pPr>
      <w:r>
        <w:rPr>
          <w:rFonts w:hint="eastAsia" w:ascii="宋体" w:hAnsi="宋体" w:eastAsia="宋体" w:cs="宋体"/>
          <w:color w:val="auto"/>
          <w:sz w:val="24"/>
          <w:szCs w:val="24"/>
        </w:rPr>
        <w:t>本合同需经甲乙双方盖章及签字后生效。本合同生效后，双方对合同内容的变更或补充应采取书面形式，并经双方签字盖章确认，作为本合同的附件。附件与本合同具有同等的法律效力。本合同一式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四</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份，甲方执</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三</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份，乙方执</w:t>
      </w:r>
      <w:r>
        <w:rPr>
          <w:rFonts w:hint="eastAsia" w:ascii="宋体" w:hAnsi="宋体" w:eastAsia="宋体" w:cs="宋体"/>
          <w:color w:val="auto"/>
          <w:sz w:val="24"/>
          <w:szCs w:val="24"/>
          <w:u w:val="single"/>
        </w:rPr>
        <w:t xml:space="preserve">  一  </w:t>
      </w:r>
      <w:r>
        <w:rPr>
          <w:rFonts w:hint="eastAsia" w:ascii="宋体" w:hAnsi="宋体" w:eastAsia="宋体" w:cs="宋体"/>
          <w:color w:val="auto"/>
          <w:sz w:val="24"/>
          <w:szCs w:val="24"/>
        </w:rPr>
        <w:t>份。</w:t>
      </w: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甲方：</w:t>
      </w:r>
      <w:r>
        <w:rPr>
          <w:rFonts w:hint="eastAsia" w:ascii="宋体" w:hAnsi="宋体" w:eastAsia="宋体" w:cs="宋体"/>
          <w:b/>
          <w:color w:val="auto"/>
          <w:kern w:val="0"/>
          <w:sz w:val="24"/>
          <w:szCs w:val="24"/>
        </w:rPr>
        <w:t xml:space="preserve">三明城发物业有限公司  </w:t>
      </w:r>
      <w:r>
        <w:rPr>
          <w:rFonts w:hint="eastAsia" w:ascii="宋体" w:hAnsi="宋体" w:eastAsia="宋体" w:cs="宋体"/>
          <w:b/>
          <w:color w:val="auto"/>
          <w:kern w:val="0"/>
          <w:sz w:val="24"/>
          <w:szCs w:val="24"/>
          <w:lang w:val="en-US" w:eastAsia="zh-CN"/>
        </w:rPr>
        <w:t xml:space="preserve">   </w:t>
      </w:r>
      <w:r>
        <w:rPr>
          <w:rFonts w:hint="eastAsia" w:ascii="宋体" w:hAnsi="宋体" w:eastAsia="宋体" w:cs="宋体"/>
          <w:b/>
          <w:color w:val="auto"/>
          <w:kern w:val="0"/>
          <w:sz w:val="24"/>
          <w:szCs w:val="24"/>
        </w:rPr>
        <w:t xml:space="preserve"> </w:t>
      </w:r>
      <w:r>
        <w:rPr>
          <w:rFonts w:hint="eastAsia" w:ascii="宋体" w:hAnsi="宋体" w:eastAsia="宋体" w:cs="宋体"/>
          <w:b/>
          <w:color w:val="auto"/>
          <w:kern w:val="0"/>
          <w:sz w:val="24"/>
          <w:szCs w:val="24"/>
          <w:lang w:val="en-US" w:eastAsia="zh-CN"/>
        </w:rPr>
        <w:t xml:space="preserve"> </w:t>
      </w:r>
      <w:r>
        <w:rPr>
          <w:rFonts w:hint="eastAsia" w:ascii="宋体" w:hAnsi="宋体" w:eastAsia="宋体" w:cs="宋体"/>
          <w:b/>
          <w:color w:val="auto"/>
          <w:kern w:val="0"/>
          <w:sz w:val="24"/>
          <w:szCs w:val="24"/>
        </w:rPr>
        <w:t xml:space="preserve"> </w:t>
      </w:r>
      <w:r>
        <w:rPr>
          <w:rFonts w:hint="eastAsia" w:ascii="宋体" w:hAnsi="宋体" w:eastAsia="宋体" w:cs="宋体"/>
          <w:b/>
          <w:color w:val="auto"/>
          <w:sz w:val="24"/>
          <w:szCs w:val="24"/>
        </w:rPr>
        <w:t>乙方：</w:t>
      </w:r>
    </w:p>
    <w:p>
      <w:pPr>
        <w:spacing w:line="360" w:lineRule="auto"/>
        <w:rPr>
          <w:rFonts w:hint="eastAsia" w:ascii="宋体" w:hAnsi="宋体" w:eastAsia="宋体" w:cs="宋体"/>
          <w:b/>
          <w:color w:val="auto"/>
          <w:sz w:val="24"/>
          <w:szCs w:val="24"/>
        </w:rPr>
      </w:pPr>
      <w:r>
        <w:rPr>
          <w:rFonts w:hint="eastAsia" w:ascii="宋体" w:hAnsi="宋体" w:eastAsia="宋体" w:cs="宋体"/>
          <w:color w:val="auto"/>
          <w:kern w:val="0"/>
          <w:sz w:val="24"/>
          <w:szCs w:val="24"/>
        </w:rPr>
        <w:t xml:space="preserve">法定代表人（或委托代理人）：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 xml:space="preserve"> 法定代表人（或委托代理人）：  </w:t>
      </w:r>
    </w:p>
    <w:p>
      <w:pPr>
        <w:spacing w:line="360" w:lineRule="auto"/>
        <w:rPr>
          <w:rFonts w:hint="eastAsia" w:ascii="宋体" w:hAnsi="宋体" w:cs="宋体"/>
          <w:color w:val="auto"/>
          <w:kern w:val="0"/>
          <w:sz w:val="28"/>
          <w:szCs w:val="28"/>
        </w:rPr>
        <w:sectPr>
          <w:footerReference r:id="rId6" w:type="first"/>
          <w:headerReference r:id="rId3" w:type="default"/>
          <w:footerReference r:id="rId4" w:type="default"/>
          <w:footerReference r:id="rId5" w:type="even"/>
          <w:pgSz w:w="11906" w:h="16838"/>
          <w:pgMar w:top="1701" w:right="1588" w:bottom="1701" w:left="1644" w:header="851" w:footer="992" w:gutter="0"/>
          <w:pgNumType w:start="1"/>
          <w:cols w:space="720" w:num="1"/>
          <w:titlePg/>
          <w:docGrid w:type="lines" w:linePitch="312" w:charSpace="0"/>
        </w:sectPr>
      </w:pPr>
      <w:r>
        <w:rPr>
          <w:rFonts w:hint="eastAsia" w:ascii="宋体" w:hAnsi="宋体" w:eastAsia="宋体" w:cs="宋体"/>
          <w:color w:val="auto"/>
          <w:kern w:val="0"/>
          <w:sz w:val="24"/>
          <w:szCs w:val="24"/>
        </w:rPr>
        <w:t xml:space="preserve">时间：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 xml:space="preserve"> 时间： </w:t>
      </w:r>
    </w:p>
    <w:p>
      <w:pPr>
        <w:spacing w:line="360" w:lineRule="auto"/>
        <w:rPr>
          <w:rFonts w:hint="eastAsia" w:ascii="宋体" w:hAnsi="宋体"/>
          <w:b/>
          <w:color w:val="auto"/>
          <w:sz w:val="24"/>
        </w:rPr>
      </w:pPr>
    </w:p>
    <w:p>
      <w:pPr>
        <w:spacing w:line="440" w:lineRule="exact"/>
        <w:jc w:val="center"/>
        <w:rPr>
          <w:rFonts w:hint="eastAsia" w:ascii="宋体" w:hAnsi="宋体" w:cs="宋体"/>
          <w:color w:val="auto"/>
          <w:kern w:val="0"/>
          <w:sz w:val="24"/>
        </w:rPr>
      </w:pPr>
      <w:r>
        <w:rPr>
          <w:rFonts w:hint="eastAsia" w:ascii="宋体" w:hAnsi="宋体"/>
          <w:b/>
          <w:color w:val="auto"/>
          <w:sz w:val="24"/>
        </w:rPr>
        <w:t>附件</w:t>
      </w:r>
      <w:r>
        <w:rPr>
          <w:rFonts w:hint="eastAsia" w:ascii="宋体" w:hAnsi="宋体"/>
          <w:b/>
          <w:color w:val="auto"/>
          <w:sz w:val="24"/>
          <w:lang w:val="en-US" w:eastAsia="zh-CN"/>
        </w:rPr>
        <w:t>1</w:t>
      </w:r>
      <w:r>
        <w:rPr>
          <w:rFonts w:hint="eastAsia" w:ascii="宋体" w:hAnsi="宋体"/>
          <w:b/>
          <w:color w:val="auto"/>
          <w:sz w:val="24"/>
        </w:rPr>
        <w:t xml:space="preserve">： </w:t>
      </w:r>
      <w:r>
        <w:rPr>
          <w:rFonts w:hint="eastAsia" w:ascii="宋体" w:hAnsi="宋体"/>
          <w:color w:val="auto"/>
          <w:kern w:val="0"/>
          <w:sz w:val="24"/>
        </w:rPr>
        <w:t>电梯保养时间及保养费明细表</w:t>
      </w:r>
    </w:p>
    <w:tbl>
      <w:tblPr>
        <w:tblStyle w:val="10"/>
        <w:tblW w:w="8804" w:type="dxa"/>
        <w:tblInd w:w="0" w:type="dxa"/>
        <w:tblLayout w:type="fixed"/>
        <w:tblCellMar>
          <w:top w:w="15" w:type="dxa"/>
          <w:left w:w="15" w:type="dxa"/>
          <w:bottom w:w="15" w:type="dxa"/>
          <w:right w:w="15" w:type="dxa"/>
        </w:tblCellMar>
      </w:tblPr>
      <w:tblGrid>
        <w:gridCol w:w="368"/>
        <w:gridCol w:w="640"/>
        <w:gridCol w:w="1270"/>
        <w:gridCol w:w="572"/>
        <w:gridCol w:w="709"/>
        <w:gridCol w:w="567"/>
        <w:gridCol w:w="567"/>
        <w:gridCol w:w="567"/>
        <w:gridCol w:w="1012"/>
        <w:gridCol w:w="764"/>
        <w:gridCol w:w="776"/>
        <w:gridCol w:w="992"/>
      </w:tblGrid>
      <w:tr>
        <w:tblPrEx>
          <w:tblCellMar>
            <w:top w:w="15" w:type="dxa"/>
            <w:left w:w="15" w:type="dxa"/>
            <w:bottom w:w="15" w:type="dxa"/>
            <w:right w:w="15" w:type="dxa"/>
          </w:tblCellMar>
        </w:tblPrEx>
        <w:trPr>
          <w:trHeight w:val="960" w:hRule="atLeast"/>
        </w:trPr>
        <w:tc>
          <w:tcPr>
            <w:tcW w:w="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序号</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电梯原始数</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项目名称</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电梯品牌</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电梯类型</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楼层</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数量（台）</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合计（台）</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维保单价报价（元/台/月</w:t>
            </w:r>
            <w:r>
              <w:rPr>
                <w:rFonts w:hint="eastAsia" w:ascii="宋体" w:hAnsi="宋体" w:cs="宋体"/>
                <w:color w:val="auto"/>
                <w:kern w:val="0"/>
                <w:sz w:val="24"/>
                <w:lang w:eastAsia="zh-CN" w:bidi="ar"/>
              </w:rPr>
              <w:t>）</w:t>
            </w:r>
          </w:p>
        </w:tc>
        <w:tc>
          <w:tcPr>
            <w:tcW w:w="764"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olor w:val="auto"/>
                <w:kern w:val="0"/>
                <w:sz w:val="24"/>
              </w:rPr>
              <w:t>维保月份</w:t>
            </w:r>
          </w:p>
        </w:tc>
        <w:tc>
          <w:tcPr>
            <w:tcW w:w="776"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olor w:val="auto"/>
                <w:kern w:val="0"/>
                <w:sz w:val="24"/>
              </w:rPr>
              <w:t>维保期限</w:t>
            </w:r>
          </w:p>
        </w:tc>
        <w:tc>
          <w:tcPr>
            <w:tcW w:w="992"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总计金额（元）</w:t>
            </w:r>
          </w:p>
        </w:tc>
      </w:tr>
      <w:tr>
        <w:tblPrEx>
          <w:tblCellMar>
            <w:top w:w="15" w:type="dxa"/>
            <w:left w:w="15" w:type="dxa"/>
            <w:bottom w:w="15" w:type="dxa"/>
            <w:right w:w="15" w:type="dxa"/>
          </w:tblCellMar>
        </w:tblPrEx>
        <w:trPr>
          <w:trHeight w:val="525" w:hRule="atLeast"/>
        </w:trPr>
        <w:tc>
          <w:tcPr>
            <w:tcW w:w="368"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c>
          <w:tcPr>
            <w:tcW w:w="640"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10层以内</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会议中心</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讯达</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直梯</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5</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3</w:t>
            </w:r>
          </w:p>
        </w:tc>
        <w:tc>
          <w:tcPr>
            <w:tcW w:w="567"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kern w:val="0"/>
                <w:sz w:val="24"/>
                <w:lang w:bidi="ar"/>
              </w:rPr>
              <w:t>1</w:t>
            </w:r>
            <w:r>
              <w:rPr>
                <w:rFonts w:hint="eastAsia" w:ascii="宋体" w:hAnsi="宋体" w:cs="宋体"/>
                <w:color w:val="auto"/>
                <w:kern w:val="0"/>
                <w:sz w:val="24"/>
                <w:lang w:val="en-US" w:eastAsia="zh-CN" w:bidi="ar"/>
              </w:rPr>
              <w:t>8</w:t>
            </w:r>
          </w:p>
        </w:tc>
        <w:tc>
          <w:tcPr>
            <w:tcW w:w="1012" w:type="dxa"/>
            <w:vMerge w:val="restart"/>
            <w:tcBorders>
              <w:top w:val="single" w:color="000000" w:sz="4" w:space="0"/>
              <w:left w:val="single" w:color="000000" w:sz="4" w:space="0"/>
            </w:tcBorders>
            <w:noWrap w:val="0"/>
            <w:vAlign w:val="center"/>
          </w:tcPr>
          <w:p>
            <w:pPr>
              <w:widowControl/>
              <w:jc w:val="center"/>
              <w:textAlignment w:val="center"/>
              <w:rPr>
                <w:rFonts w:hint="eastAsia" w:ascii="宋体" w:hAnsi="宋体" w:cs="宋体"/>
                <w:color w:val="auto"/>
                <w:sz w:val="24"/>
              </w:rPr>
            </w:pPr>
          </w:p>
        </w:tc>
        <w:tc>
          <w:tcPr>
            <w:tcW w:w="764" w:type="dxa"/>
            <w:vMerge w:val="restart"/>
            <w:tcBorders>
              <w:top w:val="single" w:color="000000" w:sz="4" w:space="0"/>
              <w:left w:val="single" w:color="000000" w:sz="4" w:space="0"/>
              <w:right w:val="single" w:color="auto" w:sz="4" w:space="0"/>
            </w:tcBorders>
            <w:noWrap w:val="0"/>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12</w:t>
            </w:r>
          </w:p>
        </w:tc>
        <w:tc>
          <w:tcPr>
            <w:tcW w:w="776" w:type="dxa"/>
            <w:vMerge w:val="restart"/>
            <w:tcBorders>
              <w:top w:val="single" w:color="000000" w:sz="4" w:space="0"/>
              <w:left w:val="single" w:color="auto" w:sz="4" w:space="0"/>
              <w:right w:val="single" w:color="auto" w:sz="4" w:space="0"/>
            </w:tcBorders>
            <w:noWrap w:val="0"/>
            <w:vAlign w:val="center"/>
          </w:tcPr>
          <w:p>
            <w:pPr>
              <w:jc w:val="center"/>
              <w:textAlignment w:val="center"/>
              <w:rPr>
                <w:rFonts w:hint="eastAsia" w:ascii="宋体" w:hAnsi="宋体" w:cs="宋体"/>
                <w:color w:val="auto"/>
                <w:sz w:val="24"/>
              </w:rPr>
            </w:pPr>
          </w:p>
        </w:tc>
        <w:tc>
          <w:tcPr>
            <w:tcW w:w="992" w:type="dxa"/>
            <w:vMerge w:val="restart"/>
            <w:tcBorders>
              <w:top w:val="single" w:color="000000" w:sz="4" w:space="0"/>
              <w:left w:val="single" w:color="auto" w:sz="4" w:space="0"/>
              <w:right w:val="single" w:color="000000" w:sz="4" w:space="0"/>
            </w:tcBorders>
            <w:noWrap w:val="0"/>
            <w:vAlign w:val="center"/>
          </w:tcPr>
          <w:p>
            <w:pPr>
              <w:jc w:val="center"/>
              <w:textAlignment w:val="center"/>
              <w:rPr>
                <w:rFonts w:hint="eastAsia" w:ascii="宋体" w:hAnsi="宋体" w:cs="宋体"/>
                <w:color w:val="auto"/>
                <w:sz w:val="24"/>
              </w:rPr>
            </w:pPr>
          </w:p>
        </w:tc>
      </w:tr>
      <w:tr>
        <w:tblPrEx>
          <w:tblCellMar>
            <w:top w:w="15" w:type="dxa"/>
            <w:left w:w="15" w:type="dxa"/>
            <w:bottom w:w="15" w:type="dxa"/>
            <w:right w:w="15" w:type="dxa"/>
          </w:tblCellMar>
        </w:tblPrEx>
        <w:trPr>
          <w:trHeight w:val="525" w:hRule="atLeast"/>
        </w:trPr>
        <w:tc>
          <w:tcPr>
            <w:tcW w:w="368" w:type="dxa"/>
            <w:vMerge w:val="continue"/>
            <w:tcBorders>
              <w:left w:val="single" w:color="000000" w:sz="4" w:space="0"/>
              <w:right w:val="single" w:color="000000" w:sz="4" w:space="0"/>
            </w:tcBorders>
            <w:noWrap w:val="0"/>
            <w:vAlign w:val="center"/>
          </w:tcPr>
          <w:p>
            <w:pPr>
              <w:jc w:val="center"/>
              <w:rPr>
                <w:rFonts w:hint="eastAsia" w:ascii="宋体" w:hAnsi="宋体" w:cs="宋体"/>
                <w:color w:val="auto"/>
                <w:sz w:val="24"/>
              </w:rPr>
            </w:pPr>
          </w:p>
        </w:tc>
        <w:tc>
          <w:tcPr>
            <w:tcW w:w="640" w:type="dxa"/>
            <w:vMerge w:val="continue"/>
            <w:tcBorders>
              <w:left w:val="single" w:color="000000" w:sz="4" w:space="0"/>
              <w:right w:val="single" w:color="000000" w:sz="4" w:space="0"/>
            </w:tcBorders>
            <w:noWrap w:val="0"/>
            <w:vAlign w:val="center"/>
          </w:tcPr>
          <w:p>
            <w:pPr>
              <w:jc w:val="center"/>
              <w:rPr>
                <w:rFonts w:hint="eastAsia" w:ascii="宋体" w:hAnsi="宋体" w:cs="宋体"/>
                <w:color w:val="auto"/>
                <w:sz w:val="24"/>
              </w:rPr>
            </w:pP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规划馆</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讯达</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直梯</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5</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w:t>
            </w:r>
          </w:p>
        </w:tc>
        <w:tc>
          <w:tcPr>
            <w:tcW w:w="567" w:type="dxa"/>
            <w:vMerge w:val="continue"/>
            <w:tcBorders>
              <w:left w:val="single" w:color="000000" w:sz="4" w:space="0"/>
              <w:right w:val="single" w:color="000000" w:sz="4" w:space="0"/>
            </w:tcBorders>
            <w:noWrap w:val="0"/>
            <w:vAlign w:val="center"/>
          </w:tcPr>
          <w:p>
            <w:pPr>
              <w:jc w:val="center"/>
              <w:rPr>
                <w:rFonts w:hint="eastAsia" w:ascii="宋体" w:hAnsi="宋体" w:cs="宋体"/>
                <w:color w:val="auto"/>
                <w:sz w:val="24"/>
              </w:rPr>
            </w:pPr>
          </w:p>
        </w:tc>
        <w:tc>
          <w:tcPr>
            <w:tcW w:w="1012" w:type="dxa"/>
            <w:vMerge w:val="continue"/>
            <w:tcBorders>
              <w:left w:val="single" w:color="000000" w:sz="4" w:space="0"/>
            </w:tcBorders>
            <w:noWrap w:val="0"/>
            <w:vAlign w:val="center"/>
          </w:tcPr>
          <w:p>
            <w:pPr>
              <w:jc w:val="center"/>
              <w:rPr>
                <w:rFonts w:hint="eastAsia" w:ascii="宋体" w:hAnsi="宋体" w:cs="宋体"/>
                <w:color w:val="auto"/>
                <w:sz w:val="24"/>
              </w:rPr>
            </w:pPr>
          </w:p>
        </w:tc>
        <w:tc>
          <w:tcPr>
            <w:tcW w:w="764" w:type="dxa"/>
            <w:vMerge w:val="continue"/>
            <w:tcBorders>
              <w:left w:val="single" w:color="000000" w:sz="4" w:space="0"/>
              <w:right w:val="single" w:color="auto" w:sz="4" w:space="0"/>
            </w:tcBorders>
            <w:noWrap w:val="0"/>
            <w:vAlign w:val="center"/>
          </w:tcPr>
          <w:p>
            <w:pPr>
              <w:jc w:val="center"/>
              <w:rPr>
                <w:rFonts w:hint="eastAsia" w:ascii="宋体" w:hAnsi="宋体" w:cs="宋体"/>
                <w:color w:val="auto"/>
                <w:sz w:val="24"/>
              </w:rPr>
            </w:pPr>
          </w:p>
        </w:tc>
        <w:tc>
          <w:tcPr>
            <w:tcW w:w="776" w:type="dxa"/>
            <w:vMerge w:val="continue"/>
            <w:tcBorders>
              <w:left w:val="single" w:color="auto" w:sz="4" w:space="0"/>
              <w:right w:val="single" w:color="auto" w:sz="4" w:space="0"/>
            </w:tcBorders>
            <w:noWrap w:val="0"/>
            <w:vAlign w:val="center"/>
          </w:tcPr>
          <w:p>
            <w:pPr>
              <w:jc w:val="center"/>
              <w:rPr>
                <w:rFonts w:hint="eastAsia" w:ascii="宋体" w:hAnsi="宋体" w:cs="宋体"/>
                <w:color w:val="auto"/>
                <w:sz w:val="24"/>
              </w:rPr>
            </w:pPr>
          </w:p>
        </w:tc>
        <w:tc>
          <w:tcPr>
            <w:tcW w:w="992" w:type="dxa"/>
            <w:vMerge w:val="continue"/>
            <w:tcBorders>
              <w:left w:val="single" w:color="auto" w:sz="4" w:space="0"/>
              <w:right w:val="single" w:color="000000" w:sz="4" w:space="0"/>
            </w:tcBorders>
            <w:noWrap w:val="0"/>
            <w:vAlign w:val="center"/>
          </w:tcPr>
          <w:p>
            <w:pPr>
              <w:jc w:val="center"/>
              <w:rPr>
                <w:rFonts w:hint="eastAsia" w:ascii="宋体" w:hAnsi="宋体" w:cs="宋体"/>
                <w:color w:val="auto"/>
                <w:sz w:val="24"/>
              </w:rPr>
            </w:pPr>
          </w:p>
        </w:tc>
      </w:tr>
      <w:tr>
        <w:tblPrEx>
          <w:tblCellMar>
            <w:top w:w="15" w:type="dxa"/>
            <w:left w:w="15" w:type="dxa"/>
            <w:bottom w:w="15" w:type="dxa"/>
            <w:right w:w="15" w:type="dxa"/>
          </w:tblCellMar>
        </w:tblPrEx>
        <w:trPr>
          <w:trHeight w:val="420" w:hRule="atLeast"/>
        </w:trPr>
        <w:tc>
          <w:tcPr>
            <w:tcW w:w="368" w:type="dxa"/>
            <w:vMerge w:val="continue"/>
            <w:tcBorders>
              <w:left w:val="single" w:color="000000" w:sz="4" w:space="0"/>
              <w:right w:val="single" w:color="000000" w:sz="4" w:space="0"/>
            </w:tcBorders>
            <w:noWrap w:val="0"/>
            <w:vAlign w:val="center"/>
          </w:tcPr>
          <w:p>
            <w:pPr>
              <w:jc w:val="center"/>
              <w:rPr>
                <w:rFonts w:hint="eastAsia" w:ascii="宋体" w:hAnsi="宋体" w:cs="宋体"/>
                <w:color w:val="auto"/>
                <w:sz w:val="24"/>
              </w:rPr>
            </w:pPr>
          </w:p>
        </w:tc>
        <w:tc>
          <w:tcPr>
            <w:tcW w:w="640" w:type="dxa"/>
            <w:vMerge w:val="continue"/>
            <w:tcBorders>
              <w:left w:val="single" w:color="000000" w:sz="4" w:space="0"/>
              <w:right w:val="single" w:color="000000" w:sz="4" w:space="0"/>
            </w:tcBorders>
            <w:noWrap w:val="0"/>
            <w:vAlign w:val="center"/>
          </w:tcPr>
          <w:p>
            <w:pPr>
              <w:jc w:val="center"/>
              <w:rPr>
                <w:rFonts w:hint="eastAsia" w:ascii="宋体" w:hAnsi="宋体" w:cs="宋体"/>
                <w:color w:val="auto"/>
                <w:sz w:val="24"/>
              </w:rPr>
            </w:pP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泰和人家</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奥的斯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直梯</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4</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4</w:t>
            </w:r>
          </w:p>
        </w:tc>
        <w:tc>
          <w:tcPr>
            <w:tcW w:w="567" w:type="dxa"/>
            <w:vMerge w:val="continue"/>
            <w:tcBorders>
              <w:left w:val="single" w:color="000000" w:sz="4" w:space="0"/>
              <w:right w:val="single" w:color="000000" w:sz="4" w:space="0"/>
            </w:tcBorders>
            <w:noWrap w:val="0"/>
            <w:vAlign w:val="center"/>
          </w:tcPr>
          <w:p>
            <w:pPr>
              <w:jc w:val="center"/>
              <w:rPr>
                <w:rFonts w:hint="eastAsia" w:ascii="宋体" w:hAnsi="宋体" w:cs="宋体"/>
                <w:color w:val="auto"/>
                <w:sz w:val="24"/>
              </w:rPr>
            </w:pPr>
          </w:p>
        </w:tc>
        <w:tc>
          <w:tcPr>
            <w:tcW w:w="1012" w:type="dxa"/>
            <w:vMerge w:val="continue"/>
            <w:tcBorders>
              <w:left w:val="single" w:color="000000" w:sz="4" w:space="0"/>
            </w:tcBorders>
            <w:noWrap w:val="0"/>
            <w:vAlign w:val="center"/>
          </w:tcPr>
          <w:p>
            <w:pPr>
              <w:jc w:val="center"/>
              <w:rPr>
                <w:rFonts w:hint="eastAsia" w:ascii="宋体" w:hAnsi="宋体" w:cs="宋体"/>
                <w:color w:val="auto"/>
                <w:sz w:val="24"/>
              </w:rPr>
            </w:pPr>
          </w:p>
        </w:tc>
        <w:tc>
          <w:tcPr>
            <w:tcW w:w="764" w:type="dxa"/>
            <w:vMerge w:val="continue"/>
            <w:tcBorders>
              <w:left w:val="single" w:color="000000" w:sz="4" w:space="0"/>
              <w:right w:val="single" w:color="auto" w:sz="4" w:space="0"/>
            </w:tcBorders>
            <w:noWrap w:val="0"/>
            <w:vAlign w:val="center"/>
          </w:tcPr>
          <w:p>
            <w:pPr>
              <w:jc w:val="center"/>
              <w:rPr>
                <w:rFonts w:hint="eastAsia" w:ascii="宋体" w:hAnsi="宋体" w:cs="宋体"/>
                <w:color w:val="auto"/>
                <w:sz w:val="24"/>
              </w:rPr>
            </w:pPr>
          </w:p>
        </w:tc>
        <w:tc>
          <w:tcPr>
            <w:tcW w:w="776" w:type="dxa"/>
            <w:vMerge w:val="continue"/>
            <w:tcBorders>
              <w:left w:val="single" w:color="auto" w:sz="4" w:space="0"/>
              <w:right w:val="single" w:color="auto" w:sz="4" w:space="0"/>
            </w:tcBorders>
            <w:noWrap w:val="0"/>
            <w:vAlign w:val="center"/>
          </w:tcPr>
          <w:p>
            <w:pPr>
              <w:jc w:val="center"/>
              <w:rPr>
                <w:rFonts w:hint="eastAsia" w:ascii="宋体" w:hAnsi="宋体" w:cs="宋体"/>
                <w:color w:val="auto"/>
                <w:sz w:val="24"/>
              </w:rPr>
            </w:pPr>
          </w:p>
        </w:tc>
        <w:tc>
          <w:tcPr>
            <w:tcW w:w="992" w:type="dxa"/>
            <w:vMerge w:val="continue"/>
            <w:tcBorders>
              <w:left w:val="single" w:color="auto" w:sz="4" w:space="0"/>
              <w:right w:val="single" w:color="000000" w:sz="4" w:space="0"/>
            </w:tcBorders>
            <w:noWrap w:val="0"/>
            <w:vAlign w:val="center"/>
          </w:tcPr>
          <w:p>
            <w:pPr>
              <w:jc w:val="center"/>
              <w:rPr>
                <w:rFonts w:hint="eastAsia" w:ascii="宋体" w:hAnsi="宋体" w:cs="宋体"/>
                <w:color w:val="auto"/>
                <w:sz w:val="24"/>
              </w:rPr>
            </w:pPr>
          </w:p>
        </w:tc>
      </w:tr>
      <w:tr>
        <w:tblPrEx>
          <w:tblCellMar>
            <w:top w:w="15" w:type="dxa"/>
            <w:left w:w="15" w:type="dxa"/>
            <w:bottom w:w="15" w:type="dxa"/>
            <w:right w:w="15" w:type="dxa"/>
          </w:tblCellMar>
        </w:tblPrEx>
        <w:trPr>
          <w:trHeight w:val="465" w:hRule="atLeast"/>
        </w:trPr>
        <w:tc>
          <w:tcPr>
            <w:tcW w:w="368" w:type="dxa"/>
            <w:vMerge w:val="continue"/>
            <w:tcBorders>
              <w:left w:val="single" w:color="000000" w:sz="4" w:space="0"/>
              <w:right w:val="single" w:color="000000" w:sz="4" w:space="0"/>
            </w:tcBorders>
            <w:noWrap w:val="0"/>
            <w:vAlign w:val="center"/>
          </w:tcPr>
          <w:p>
            <w:pPr>
              <w:jc w:val="center"/>
              <w:rPr>
                <w:rFonts w:hint="eastAsia" w:ascii="宋体" w:hAnsi="宋体" w:cs="宋体"/>
                <w:color w:val="auto"/>
                <w:sz w:val="24"/>
              </w:rPr>
            </w:pPr>
          </w:p>
        </w:tc>
        <w:tc>
          <w:tcPr>
            <w:tcW w:w="640" w:type="dxa"/>
            <w:vMerge w:val="continue"/>
            <w:tcBorders>
              <w:left w:val="single" w:color="000000" w:sz="4" w:space="0"/>
              <w:right w:val="single" w:color="000000" w:sz="4" w:space="0"/>
            </w:tcBorders>
            <w:noWrap w:val="0"/>
            <w:vAlign w:val="center"/>
          </w:tcPr>
          <w:p>
            <w:pPr>
              <w:jc w:val="center"/>
              <w:rPr>
                <w:rFonts w:hint="eastAsia" w:ascii="宋体" w:hAnsi="宋体" w:cs="宋体"/>
                <w:color w:val="auto"/>
                <w:sz w:val="24"/>
              </w:rPr>
            </w:pPr>
          </w:p>
        </w:tc>
        <w:tc>
          <w:tcPr>
            <w:tcW w:w="127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会展中心</w:t>
            </w:r>
          </w:p>
        </w:tc>
        <w:tc>
          <w:tcPr>
            <w:tcW w:w="572"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蒂森克虏伯</w:t>
            </w:r>
          </w:p>
        </w:tc>
        <w:tc>
          <w:tcPr>
            <w:tcW w:w="70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直梯</w:t>
            </w:r>
          </w:p>
        </w:tc>
        <w:tc>
          <w:tcPr>
            <w:tcW w:w="56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4</w:t>
            </w:r>
          </w:p>
        </w:tc>
        <w:tc>
          <w:tcPr>
            <w:tcW w:w="567"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w:t>
            </w:r>
          </w:p>
        </w:tc>
        <w:tc>
          <w:tcPr>
            <w:tcW w:w="567" w:type="dxa"/>
            <w:vMerge w:val="continue"/>
            <w:tcBorders>
              <w:left w:val="single" w:color="000000" w:sz="4" w:space="0"/>
              <w:right w:val="single" w:color="000000" w:sz="4" w:space="0"/>
            </w:tcBorders>
            <w:noWrap w:val="0"/>
            <w:vAlign w:val="center"/>
          </w:tcPr>
          <w:p>
            <w:pPr>
              <w:jc w:val="center"/>
              <w:rPr>
                <w:rFonts w:hint="eastAsia" w:ascii="宋体" w:hAnsi="宋体" w:cs="宋体"/>
                <w:color w:val="auto"/>
                <w:sz w:val="24"/>
              </w:rPr>
            </w:pPr>
          </w:p>
        </w:tc>
        <w:tc>
          <w:tcPr>
            <w:tcW w:w="1012" w:type="dxa"/>
            <w:vMerge w:val="continue"/>
            <w:tcBorders>
              <w:left w:val="single" w:color="000000" w:sz="4" w:space="0"/>
            </w:tcBorders>
            <w:noWrap w:val="0"/>
            <w:vAlign w:val="center"/>
          </w:tcPr>
          <w:p>
            <w:pPr>
              <w:jc w:val="center"/>
              <w:rPr>
                <w:rFonts w:hint="eastAsia" w:ascii="宋体" w:hAnsi="宋体" w:cs="宋体"/>
                <w:color w:val="auto"/>
                <w:sz w:val="24"/>
              </w:rPr>
            </w:pPr>
          </w:p>
        </w:tc>
        <w:tc>
          <w:tcPr>
            <w:tcW w:w="764" w:type="dxa"/>
            <w:vMerge w:val="continue"/>
            <w:tcBorders>
              <w:left w:val="single" w:color="000000" w:sz="4" w:space="0"/>
              <w:right w:val="single" w:color="auto" w:sz="4" w:space="0"/>
            </w:tcBorders>
            <w:noWrap w:val="0"/>
            <w:vAlign w:val="center"/>
          </w:tcPr>
          <w:p>
            <w:pPr>
              <w:jc w:val="center"/>
              <w:rPr>
                <w:rFonts w:hint="eastAsia" w:ascii="宋体" w:hAnsi="宋体" w:cs="宋体"/>
                <w:color w:val="auto"/>
                <w:sz w:val="24"/>
              </w:rPr>
            </w:pPr>
          </w:p>
        </w:tc>
        <w:tc>
          <w:tcPr>
            <w:tcW w:w="776" w:type="dxa"/>
            <w:vMerge w:val="continue"/>
            <w:tcBorders>
              <w:left w:val="single" w:color="auto" w:sz="4" w:space="0"/>
              <w:right w:val="single" w:color="auto" w:sz="4" w:space="0"/>
            </w:tcBorders>
            <w:noWrap w:val="0"/>
            <w:vAlign w:val="center"/>
          </w:tcPr>
          <w:p>
            <w:pPr>
              <w:jc w:val="center"/>
              <w:rPr>
                <w:rFonts w:hint="eastAsia" w:ascii="宋体" w:hAnsi="宋体" w:cs="宋体"/>
                <w:color w:val="auto"/>
                <w:sz w:val="24"/>
              </w:rPr>
            </w:pPr>
          </w:p>
        </w:tc>
        <w:tc>
          <w:tcPr>
            <w:tcW w:w="992" w:type="dxa"/>
            <w:vMerge w:val="continue"/>
            <w:tcBorders>
              <w:left w:val="single" w:color="auto" w:sz="4" w:space="0"/>
              <w:right w:val="single" w:color="000000" w:sz="4" w:space="0"/>
            </w:tcBorders>
            <w:noWrap w:val="0"/>
            <w:vAlign w:val="center"/>
          </w:tcPr>
          <w:p>
            <w:pPr>
              <w:jc w:val="center"/>
              <w:rPr>
                <w:rFonts w:hint="eastAsia" w:ascii="宋体" w:hAnsi="宋体" w:cs="宋体"/>
                <w:color w:val="auto"/>
                <w:sz w:val="24"/>
              </w:rPr>
            </w:pPr>
          </w:p>
        </w:tc>
      </w:tr>
      <w:tr>
        <w:tblPrEx>
          <w:tblCellMar>
            <w:top w:w="15" w:type="dxa"/>
            <w:left w:w="15" w:type="dxa"/>
            <w:bottom w:w="15" w:type="dxa"/>
            <w:right w:w="15" w:type="dxa"/>
          </w:tblCellMar>
        </w:tblPrEx>
        <w:trPr>
          <w:trHeight w:val="465" w:hRule="atLeast"/>
        </w:trPr>
        <w:tc>
          <w:tcPr>
            <w:tcW w:w="368" w:type="dxa"/>
            <w:vMerge w:val="continue"/>
            <w:tcBorders>
              <w:left w:val="single" w:color="000000" w:sz="4" w:space="0"/>
              <w:right w:val="single" w:color="000000" w:sz="4" w:space="0"/>
            </w:tcBorders>
            <w:noWrap w:val="0"/>
            <w:vAlign w:val="center"/>
          </w:tcPr>
          <w:p>
            <w:pPr>
              <w:jc w:val="center"/>
              <w:rPr>
                <w:rFonts w:hint="eastAsia" w:ascii="宋体" w:hAnsi="宋体" w:cs="宋体"/>
                <w:color w:val="auto"/>
                <w:sz w:val="24"/>
              </w:rPr>
            </w:pPr>
          </w:p>
        </w:tc>
        <w:tc>
          <w:tcPr>
            <w:tcW w:w="640" w:type="dxa"/>
            <w:vMerge w:val="continue"/>
            <w:tcBorders>
              <w:left w:val="single" w:color="000000" w:sz="4" w:space="0"/>
              <w:right w:val="single" w:color="000000" w:sz="4" w:space="0"/>
            </w:tcBorders>
            <w:noWrap w:val="0"/>
            <w:vAlign w:val="center"/>
          </w:tcPr>
          <w:p>
            <w:pPr>
              <w:jc w:val="center"/>
              <w:rPr>
                <w:rFonts w:hint="eastAsia" w:ascii="宋体" w:hAnsi="宋体" w:cs="宋体"/>
                <w:color w:val="auto"/>
                <w:sz w:val="24"/>
              </w:rPr>
            </w:pPr>
          </w:p>
        </w:tc>
        <w:tc>
          <w:tcPr>
            <w:tcW w:w="127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auto"/>
                <w:kern w:val="0"/>
                <w:sz w:val="24"/>
                <w:lang w:val="en-US" w:eastAsia="zh-CN" w:bidi="ar"/>
              </w:rPr>
            </w:pPr>
            <w:r>
              <w:rPr>
                <w:rFonts w:hint="eastAsia" w:ascii="宋体" w:hAnsi="宋体" w:cs="宋体"/>
                <w:color w:val="auto"/>
                <w:kern w:val="0"/>
                <w:sz w:val="24"/>
                <w:lang w:val="en-US" w:eastAsia="zh-CN" w:bidi="ar"/>
              </w:rPr>
              <w:t>森邻人家</w:t>
            </w:r>
          </w:p>
        </w:tc>
        <w:tc>
          <w:tcPr>
            <w:tcW w:w="572"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4"/>
                <w:lang w:bidi="ar"/>
              </w:rPr>
            </w:pPr>
            <w:r>
              <w:rPr>
                <w:rFonts w:hint="eastAsia" w:ascii="宋体" w:hAnsi="宋体" w:cs="宋体"/>
                <w:color w:val="auto"/>
                <w:kern w:val="0"/>
                <w:sz w:val="24"/>
                <w:lang w:bidi="ar"/>
              </w:rPr>
              <w:t>奥的斯</w:t>
            </w:r>
          </w:p>
        </w:tc>
        <w:tc>
          <w:tcPr>
            <w:tcW w:w="70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4"/>
                <w:lang w:bidi="ar"/>
              </w:rPr>
            </w:pPr>
            <w:r>
              <w:rPr>
                <w:rFonts w:hint="eastAsia" w:ascii="宋体" w:hAnsi="宋体" w:cs="宋体"/>
                <w:color w:val="auto"/>
                <w:kern w:val="0"/>
                <w:sz w:val="24"/>
                <w:lang w:bidi="ar"/>
              </w:rPr>
              <w:t>直梯</w:t>
            </w:r>
          </w:p>
        </w:tc>
        <w:tc>
          <w:tcPr>
            <w:tcW w:w="56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4"/>
                <w:lang w:val="en-US" w:eastAsia="zh-CN" w:bidi="ar"/>
              </w:rPr>
            </w:pPr>
            <w:r>
              <w:rPr>
                <w:rFonts w:hint="eastAsia" w:ascii="宋体" w:hAnsi="宋体" w:cs="宋体"/>
                <w:color w:val="auto"/>
                <w:kern w:val="0"/>
                <w:sz w:val="24"/>
                <w:lang w:val="en-US" w:eastAsia="zh-CN" w:bidi="ar"/>
              </w:rPr>
              <w:t>6</w:t>
            </w:r>
          </w:p>
        </w:tc>
        <w:tc>
          <w:tcPr>
            <w:tcW w:w="567"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4"/>
                <w:lang w:val="en-US" w:eastAsia="zh-CN" w:bidi="ar"/>
              </w:rPr>
            </w:pPr>
            <w:r>
              <w:rPr>
                <w:rFonts w:hint="eastAsia" w:ascii="宋体" w:hAnsi="宋体" w:cs="宋体"/>
                <w:color w:val="auto"/>
                <w:kern w:val="0"/>
                <w:sz w:val="24"/>
                <w:lang w:val="en-US" w:eastAsia="zh-CN" w:bidi="ar"/>
              </w:rPr>
              <w:t>1</w:t>
            </w:r>
          </w:p>
        </w:tc>
        <w:tc>
          <w:tcPr>
            <w:tcW w:w="567" w:type="dxa"/>
            <w:vMerge w:val="continue"/>
            <w:tcBorders>
              <w:left w:val="single" w:color="000000" w:sz="4" w:space="0"/>
              <w:right w:val="single" w:color="000000" w:sz="4" w:space="0"/>
            </w:tcBorders>
            <w:noWrap w:val="0"/>
            <w:vAlign w:val="center"/>
          </w:tcPr>
          <w:p>
            <w:pPr>
              <w:jc w:val="center"/>
              <w:rPr>
                <w:rFonts w:hint="eastAsia" w:ascii="宋体" w:hAnsi="宋体" w:cs="宋体"/>
                <w:color w:val="auto"/>
                <w:sz w:val="24"/>
              </w:rPr>
            </w:pPr>
          </w:p>
        </w:tc>
        <w:tc>
          <w:tcPr>
            <w:tcW w:w="1012" w:type="dxa"/>
            <w:vMerge w:val="continue"/>
            <w:tcBorders>
              <w:left w:val="single" w:color="000000" w:sz="4" w:space="0"/>
            </w:tcBorders>
            <w:noWrap w:val="0"/>
            <w:vAlign w:val="center"/>
          </w:tcPr>
          <w:p>
            <w:pPr>
              <w:jc w:val="center"/>
              <w:rPr>
                <w:rFonts w:hint="eastAsia" w:ascii="宋体" w:hAnsi="宋体" w:cs="宋体"/>
                <w:color w:val="auto"/>
                <w:sz w:val="24"/>
              </w:rPr>
            </w:pPr>
          </w:p>
        </w:tc>
        <w:tc>
          <w:tcPr>
            <w:tcW w:w="764" w:type="dxa"/>
            <w:vMerge w:val="continue"/>
            <w:tcBorders>
              <w:left w:val="single" w:color="000000" w:sz="4" w:space="0"/>
              <w:right w:val="single" w:color="auto" w:sz="4" w:space="0"/>
            </w:tcBorders>
            <w:noWrap w:val="0"/>
            <w:vAlign w:val="center"/>
          </w:tcPr>
          <w:p>
            <w:pPr>
              <w:jc w:val="center"/>
              <w:rPr>
                <w:rFonts w:hint="eastAsia" w:ascii="宋体" w:hAnsi="宋体" w:cs="宋体"/>
                <w:color w:val="auto"/>
                <w:sz w:val="24"/>
              </w:rPr>
            </w:pPr>
          </w:p>
        </w:tc>
        <w:tc>
          <w:tcPr>
            <w:tcW w:w="776" w:type="dxa"/>
            <w:vMerge w:val="continue"/>
            <w:tcBorders>
              <w:left w:val="single" w:color="auto" w:sz="4" w:space="0"/>
              <w:right w:val="single" w:color="auto" w:sz="4" w:space="0"/>
            </w:tcBorders>
            <w:noWrap w:val="0"/>
            <w:vAlign w:val="center"/>
          </w:tcPr>
          <w:p>
            <w:pPr>
              <w:jc w:val="center"/>
              <w:rPr>
                <w:rFonts w:hint="eastAsia" w:ascii="宋体" w:hAnsi="宋体" w:cs="宋体"/>
                <w:color w:val="auto"/>
                <w:sz w:val="24"/>
              </w:rPr>
            </w:pPr>
          </w:p>
        </w:tc>
        <w:tc>
          <w:tcPr>
            <w:tcW w:w="992" w:type="dxa"/>
            <w:vMerge w:val="continue"/>
            <w:tcBorders>
              <w:left w:val="single" w:color="auto" w:sz="4" w:space="0"/>
              <w:right w:val="single" w:color="000000" w:sz="4" w:space="0"/>
            </w:tcBorders>
            <w:noWrap w:val="0"/>
            <w:vAlign w:val="center"/>
          </w:tcPr>
          <w:p>
            <w:pPr>
              <w:jc w:val="center"/>
              <w:rPr>
                <w:rFonts w:hint="eastAsia" w:ascii="宋体" w:hAnsi="宋体" w:cs="宋体"/>
                <w:color w:val="auto"/>
                <w:sz w:val="24"/>
              </w:rPr>
            </w:pPr>
          </w:p>
        </w:tc>
      </w:tr>
      <w:tr>
        <w:tblPrEx>
          <w:tblCellMar>
            <w:top w:w="15" w:type="dxa"/>
            <w:left w:w="15" w:type="dxa"/>
            <w:bottom w:w="15" w:type="dxa"/>
            <w:right w:w="15" w:type="dxa"/>
          </w:tblCellMar>
        </w:tblPrEx>
        <w:trPr>
          <w:trHeight w:val="465" w:hRule="atLeast"/>
        </w:trPr>
        <w:tc>
          <w:tcPr>
            <w:tcW w:w="368" w:type="dxa"/>
            <w:vMerge w:val="continue"/>
            <w:tcBorders>
              <w:left w:val="single" w:color="000000" w:sz="4" w:space="0"/>
              <w:right w:val="single" w:color="000000" w:sz="4" w:space="0"/>
            </w:tcBorders>
            <w:noWrap w:val="0"/>
            <w:vAlign w:val="center"/>
          </w:tcPr>
          <w:p>
            <w:pPr>
              <w:jc w:val="center"/>
              <w:rPr>
                <w:rFonts w:hint="eastAsia" w:ascii="宋体" w:hAnsi="宋体" w:cs="宋体"/>
                <w:color w:val="auto"/>
                <w:sz w:val="24"/>
              </w:rPr>
            </w:pPr>
          </w:p>
        </w:tc>
        <w:tc>
          <w:tcPr>
            <w:tcW w:w="640" w:type="dxa"/>
            <w:vMerge w:val="continue"/>
            <w:tcBorders>
              <w:left w:val="single" w:color="000000" w:sz="4" w:space="0"/>
              <w:right w:val="single" w:color="000000" w:sz="4" w:space="0"/>
            </w:tcBorders>
            <w:noWrap w:val="0"/>
            <w:vAlign w:val="center"/>
          </w:tcPr>
          <w:p>
            <w:pPr>
              <w:jc w:val="center"/>
              <w:rPr>
                <w:rFonts w:hint="eastAsia" w:ascii="宋体" w:hAnsi="宋体" w:cs="宋体"/>
                <w:color w:val="auto"/>
                <w:sz w:val="24"/>
              </w:rPr>
            </w:pPr>
          </w:p>
        </w:tc>
        <w:tc>
          <w:tcPr>
            <w:tcW w:w="127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4"/>
                <w:lang w:val="en-US" w:eastAsia="zh-CN" w:bidi="ar"/>
              </w:rPr>
            </w:pPr>
            <w:r>
              <w:rPr>
                <w:rFonts w:hint="eastAsia" w:ascii="宋体" w:hAnsi="宋体" w:cs="宋体"/>
                <w:color w:val="auto"/>
                <w:kern w:val="0"/>
                <w:sz w:val="24"/>
                <w:lang w:val="en-US" w:eastAsia="zh-CN" w:bidi="ar"/>
              </w:rPr>
              <w:t>佳和人家</w:t>
            </w:r>
          </w:p>
        </w:tc>
        <w:tc>
          <w:tcPr>
            <w:tcW w:w="572"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auto"/>
                <w:kern w:val="0"/>
                <w:sz w:val="24"/>
                <w:lang w:val="en-US" w:eastAsia="zh-CN" w:bidi="ar"/>
              </w:rPr>
            </w:pPr>
            <w:r>
              <w:rPr>
                <w:rFonts w:hint="eastAsia" w:ascii="宋体" w:hAnsi="宋体" w:cs="宋体"/>
                <w:color w:val="auto"/>
                <w:kern w:val="0"/>
                <w:sz w:val="24"/>
                <w:lang w:val="en-US" w:eastAsia="zh-CN" w:bidi="ar"/>
              </w:rPr>
              <w:t>巨人通力</w:t>
            </w:r>
          </w:p>
        </w:tc>
        <w:tc>
          <w:tcPr>
            <w:tcW w:w="70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4"/>
                <w:lang w:bidi="ar"/>
              </w:rPr>
            </w:pPr>
            <w:r>
              <w:rPr>
                <w:rFonts w:hint="eastAsia" w:ascii="宋体" w:hAnsi="宋体" w:cs="宋体"/>
                <w:color w:val="auto"/>
                <w:kern w:val="0"/>
                <w:sz w:val="24"/>
                <w:lang w:bidi="ar"/>
              </w:rPr>
              <w:t>直梯</w:t>
            </w:r>
          </w:p>
        </w:tc>
        <w:tc>
          <w:tcPr>
            <w:tcW w:w="56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4"/>
                <w:lang w:val="en-US" w:eastAsia="zh-CN" w:bidi="ar"/>
              </w:rPr>
            </w:pPr>
            <w:r>
              <w:rPr>
                <w:rFonts w:hint="eastAsia" w:ascii="宋体" w:hAnsi="宋体" w:cs="宋体"/>
                <w:color w:val="auto"/>
                <w:kern w:val="0"/>
                <w:sz w:val="24"/>
                <w:lang w:val="en-US" w:eastAsia="zh-CN" w:bidi="ar"/>
              </w:rPr>
              <w:t>6</w:t>
            </w:r>
          </w:p>
        </w:tc>
        <w:tc>
          <w:tcPr>
            <w:tcW w:w="567"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4"/>
                <w:lang w:val="en-US" w:eastAsia="zh-CN" w:bidi="ar"/>
              </w:rPr>
            </w:pPr>
            <w:r>
              <w:rPr>
                <w:rFonts w:hint="eastAsia" w:ascii="宋体" w:hAnsi="宋体" w:cs="宋体"/>
                <w:color w:val="auto"/>
                <w:kern w:val="0"/>
                <w:sz w:val="24"/>
                <w:lang w:val="en-US" w:eastAsia="zh-CN" w:bidi="ar"/>
              </w:rPr>
              <w:t>4</w:t>
            </w:r>
          </w:p>
        </w:tc>
        <w:tc>
          <w:tcPr>
            <w:tcW w:w="567" w:type="dxa"/>
            <w:vMerge w:val="continue"/>
            <w:tcBorders>
              <w:left w:val="single" w:color="000000" w:sz="4" w:space="0"/>
              <w:right w:val="single" w:color="000000" w:sz="4" w:space="0"/>
            </w:tcBorders>
            <w:noWrap w:val="0"/>
            <w:vAlign w:val="center"/>
          </w:tcPr>
          <w:p>
            <w:pPr>
              <w:jc w:val="center"/>
              <w:rPr>
                <w:rFonts w:hint="eastAsia" w:ascii="宋体" w:hAnsi="宋体" w:cs="宋体"/>
                <w:color w:val="auto"/>
                <w:sz w:val="24"/>
              </w:rPr>
            </w:pPr>
          </w:p>
        </w:tc>
        <w:tc>
          <w:tcPr>
            <w:tcW w:w="1012" w:type="dxa"/>
            <w:vMerge w:val="continue"/>
            <w:tcBorders>
              <w:left w:val="single" w:color="000000" w:sz="4" w:space="0"/>
            </w:tcBorders>
            <w:noWrap w:val="0"/>
            <w:vAlign w:val="center"/>
          </w:tcPr>
          <w:p>
            <w:pPr>
              <w:jc w:val="center"/>
              <w:rPr>
                <w:rFonts w:hint="eastAsia" w:ascii="宋体" w:hAnsi="宋体" w:cs="宋体"/>
                <w:color w:val="auto"/>
                <w:sz w:val="24"/>
              </w:rPr>
            </w:pPr>
          </w:p>
        </w:tc>
        <w:tc>
          <w:tcPr>
            <w:tcW w:w="764" w:type="dxa"/>
            <w:vMerge w:val="continue"/>
            <w:tcBorders>
              <w:left w:val="single" w:color="000000" w:sz="4" w:space="0"/>
              <w:right w:val="single" w:color="auto" w:sz="4" w:space="0"/>
            </w:tcBorders>
            <w:noWrap w:val="0"/>
            <w:vAlign w:val="center"/>
          </w:tcPr>
          <w:p>
            <w:pPr>
              <w:jc w:val="center"/>
              <w:rPr>
                <w:rFonts w:hint="eastAsia" w:ascii="宋体" w:hAnsi="宋体" w:cs="宋体"/>
                <w:color w:val="auto"/>
                <w:sz w:val="24"/>
              </w:rPr>
            </w:pPr>
          </w:p>
        </w:tc>
        <w:tc>
          <w:tcPr>
            <w:tcW w:w="776" w:type="dxa"/>
            <w:vMerge w:val="continue"/>
            <w:tcBorders>
              <w:left w:val="single" w:color="auto" w:sz="4" w:space="0"/>
              <w:right w:val="single" w:color="auto" w:sz="4" w:space="0"/>
            </w:tcBorders>
            <w:noWrap w:val="0"/>
            <w:vAlign w:val="center"/>
          </w:tcPr>
          <w:p>
            <w:pPr>
              <w:jc w:val="center"/>
              <w:rPr>
                <w:rFonts w:hint="eastAsia" w:ascii="宋体" w:hAnsi="宋体" w:cs="宋体"/>
                <w:color w:val="auto"/>
                <w:sz w:val="24"/>
              </w:rPr>
            </w:pPr>
          </w:p>
        </w:tc>
        <w:tc>
          <w:tcPr>
            <w:tcW w:w="992" w:type="dxa"/>
            <w:vMerge w:val="continue"/>
            <w:tcBorders>
              <w:left w:val="single" w:color="auto" w:sz="4" w:space="0"/>
              <w:right w:val="single" w:color="000000" w:sz="4" w:space="0"/>
            </w:tcBorders>
            <w:noWrap w:val="0"/>
            <w:vAlign w:val="center"/>
          </w:tcPr>
          <w:p>
            <w:pPr>
              <w:jc w:val="center"/>
              <w:rPr>
                <w:rFonts w:hint="eastAsia" w:ascii="宋体" w:hAnsi="宋体" w:cs="宋体"/>
                <w:color w:val="auto"/>
                <w:sz w:val="24"/>
              </w:rPr>
            </w:pPr>
          </w:p>
        </w:tc>
      </w:tr>
      <w:tr>
        <w:tblPrEx>
          <w:tblCellMar>
            <w:top w:w="15" w:type="dxa"/>
            <w:left w:w="15" w:type="dxa"/>
            <w:bottom w:w="15" w:type="dxa"/>
            <w:right w:w="15" w:type="dxa"/>
          </w:tblCellMar>
        </w:tblPrEx>
        <w:trPr>
          <w:trHeight w:val="465" w:hRule="atLeast"/>
        </w:trPr>
        <w:tc>
          <w:tcPr>
            <w:tcW w:w="368" w:type="dxa"/>
            <w:vMerge w:val="continue"/>
            <w:tcBorders>
              <w:left w:val="single" w:color="000000" w:sz="4" w:space="0"/>
              <w:right w:val="single" w:color="000000" w:sz="4" w:space="0"/>
            </w:tcBorders>
            <w:noWrap w:val="0"/>
            <w:vAlign w:val="center"/>
          </w:tcPr>
          <w:p>
            <w:pPr>
              <w:jc w:val="center"/>
              <w:rPr>
                <w:rFonts w:hint="eastAsia" w:ascii="宋体" w:hAnsi="宋体" w:cs="宋体"/>
                <w:color w:val="auto"/>
                <w:sz w:val="24"/>
              </w:rPr>
            </w:pPr>
          </w:p>
        </w:tc>
        <w:tc>
          <w:tcPr>
            <w:tcW w:w="640" w:type="dxa"/>
            <w:vMerge w:val="continue"/>
            <w:tcBorders>
              <w:left w:val="single" w:color="000000" w:sz="4" w:space="0"/>
              <w:right w:val="single" w:color="000000" w:sz="4" w:space="0"/>
            </w:tcBorders>
            <w:noWrap w:val="0"/>
            <w:vAlign w:val="center"/>
          </w:tcPr>
          <w:p>
            <w:pPr>
              <w:jc w:val="center"/>
              <w:rPr>
                <w:rFonts w:hint="eastAsia" w:ascii="宋体" w:hAnsi="宋体" w:cs="宋体"/>
                <w:color w:val="auto"/>
                <w:sz w:val="24"/>
              </w:rPr>
            </w:pPr>
          </w:p>
        </w:tc>
        <w:tc>
          <w:tcPr>
            <w:tcW w:w="127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auto"/>
                <w:kern w:val="0"/>
                <w:sz w:val="24"/>
                <w:lang w:val="en-US" w:eastAsia="zh-CN" w:bidi="ar"/>
              </w:rPr>
            </w:pPr>
            <w:r>
              <w:rPr>
                <w:rFonts w:hint="eastAsia" w:ascii="宋体" w:hAnsi="宋体" w:cs="宋体"/>
                <w:color w:val="auto"/>
                <w:kern w:val="0"/>
                <w:sz w:val="24"/>
                <w:lang w:val="en-US" w:eastAsia="zh-CN" w:bidi="ar"/>
              </w:rPr>
              <w:t>下洋综合楼</w:t>
            </w:r>
          </w:p>
        </w:tc>
        <w:tc>
          <w:tcPr>
            <w:tcW w:w="572"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4"/>
                <w:lang w:val="en-US" w:eastAsia="zh-CN" w:bidi="ar"/>
              </w:rPr>
            </w:pPr>
            <w:r>
              <w:rPr>
                <w:rFonts w:hint="eastAsia" w:ascii="宋体" w:hAnsi="宋体" w:cs="宋体"/>
                <w:color w:val="auto"/>
                <w:kern w:val="0"/>
                <w:sz w:val="24"/>
                <w:lang w:val="en-US" w:eastAsia="zh-CN" w:bidi="ar"/>
              </w:rPr>
              <w:t>日立</w:t>
            </w:r>
          </w:p>
        </w:tc>
        <w:tc>
          <w:tcPr>
            <w:tcW w:w="70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4"/>
                <w:lang w:bidi="ar"/>
              </w:rPr>
            </w:pPr>
            <w:r>
              <w:rPr>
                <w:rFonts w:hint="eastAsia" w:ascii="宋体" w:hAnsi="宋体" w:cs="宋体"/>
                <w:color w:val="auto"/>
                <w:kern w:val="0"/>
                <w:sz w:val="24"/>
                <w:lang w:bidi="ar"/>
              </w:rPr>
              <w:t>直梯</w:t>
            </w:r>
          </w:p>
        </w:tc>
        <w:tc>
          <w:tcPr>
            <w:tcW w:w="56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4"/>
                <w:lang w:val="en-US" w:eastAsia="zh-CN" w:bidi="ar"/>
              </w:rPr>
            </w:pPr>
            <w:r>
              <w:rPr>
                <w:rFonts w:hint="eastAsia" w:ascii="宋体" w:hAnsi="宋体" w:cs="宋体"/>
                <w:color w:val="auto"/>
                <w:kern w:val="0"/>
                <w:sz w:val="24"/>
                <w:lang w:val="en-US" w:eastAsia="zh-CN" w:bidi="ar"/>
              </w:rPr>
              <w:t>9</w:t>
            </w:r>
          </w:p>
        </w:tc>
        <w:tc>
          <w:tcPr>
            <w:tcW w:w="567"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4"/>
                <w:lang w:val="en-US" w:eastAsia="zh-CN" w:bidi="ar"/>
              </w:rPr>
            </w:pPr>
            <w:r>
              <w:rPr>
                <w:rFonts w:hint="eastAsia" w:ascii="宋体" w:hAnsi="宋体" w:cs="宋体"/>
                <w:color w:val="auto"/>
                <w:kern w:val="0"/>
                <w:sz w:val="24"/>
                <w:lang w:val="en-US" w:eastAsia="zh-CN" w:bidi="ar"/>
              </w:rPr>
              <w:t>2</w:t>
            </w:r>
          </w:p>
        </w:tc>
        <w:tc>
          <w:tcPr>
            <w:tcW w:w="567" w:type="dxa"/>
            <w:vMerge w:val="continue"/>
            <w:tcBorders>
              <w:left w:val="single" w:color="000000" w:sz="4" w:space="0"/>
              <w:bottom w:val="single" w:color="auto" w:sz="4" w:space="0"/>
              <w:right w:val="single" w:color="000000" w:sz="4" w:space="0"/>
            </w:tcBorders>
            <w:noWrap w:val="0"/>
            <w:vAlign w:val="center"/>
          </w:tcPr>
          <w:p>
            <w:pPr>
              <w:jc w:val="center"/>
              <w:rPr>
                <w:rFonts w:hint="eastAsia" w:ascii="宋体" w:hAnsi="宋体" w:cs="宋体"/>
                <w:color w:val="auto"/>
                <w:sz w:val="24"/>
              </w:rPr>
            </w:pPr>
          </w:p>
        </w:tc>
        <w:tc>
          <w:tcPr>
            <w:tcW w:w="1012" w:type="dxa"/>
            <w:vMerge w:val="continue"/>
            <w:tcBorders>
              <w:left w:val="single" w:color="000000" w:sz="4" w:space="0"/>
              <w:bottom w:val="single" w:color="auto" w:sz="4" w:space="0"/>
            </w:tcBorders>
            <w:noWrap w:val="0"/>
            <w:vAlign w:val="center"/>
          </w:tcPr>
          <w:p>
            <w:pPr>
              <w:jc w:val="center"/>
              <w:rPr>
                <w:rFonts w:hint="eastAsia" w:ascii="宋体" w:hAnsi="宋体" w:cs="宋体"/>
                <w:color w:val="auto"/>
                <w:sz w:val="24"/>
              </w:rPr>
            </w:pPr>
          </w:p>
        </w:tc>
        <w:tc>
          <w:tcPr>
            <w:tcW w:w="764" w:type="dxa"/>
            <w:vMerge w:val="continue"/>
            <w:tcBorders>
              <w:left w:val="single" w:color="000000" w:sz="4" w:space="0"/>
              <w:bottom w:val="single" w:color="auto" w:sz="4" w:space="0"/>
              <w:right w:val="single" w:color="auto" w:sz="4" w:space="0"/>
            </w:tcBorders>
            <w:noWrap w:val="0"/>
            <w:vAlign w:val="center"/>
          </w:tcPr>
          <w:p>
            <w:pPr>
              <w:jc w:val="center"/>
              <w:rPr>
                <w:rFonts w:hint="eastAsia" w:ascii="宋体" w:hAnsi="宋体" w:cs="宋体"/>
                <w:color w:val="auto"/>
                <w:sz w:val="24"/>
              </w:rPr>
            </w:pPr>
          </w:p>
        </w:tc>
        <w:tc>
          <w:tcPr>
            <w:tcW w:w="776"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rPr>
            </w:pPr>
          </w:p>
        </w:tc>
        <w:tc>
          <w:tcPr>
            <w:tcW w:w="992" w:type="dxa"/>
            <w:vMerge w:val="continue"/>
            <w:tcBorders>
              <w:left w:val="single" w:color="auto" w:sz="4" w:space="0"/>
              <w:bottom w:val="single" w:color="auto" w:sz="4" w:space="0"/>
              <w:right w:val="single" w:color="000000" w:sz="4" w:space="0"/>
            </w:tcBorders>
            <w:noWrap w:val="0"/>
            <w:vAlign w:val="center"/>
          </w:tcPr>
          <w:p>
            <w:pPr>
              <w:jc w:val="center"/>
              <w:rPr>
                <w:rFonts w:hint="eastAsia" w:ascii="宋体" w:hAnsi="宋体" w:cs="宋体"/>
                <w:color w:val="auto"/>
                <w:sz w:val="24"/>
              </w:rPr>
            </w:pPr>
          </w:p>
        </w:tc>
      </w:tr>
      <w:tr>
        <w:tblPrEx>
          <w:tblCellMar>
            <w:top w:w="15" w:type="dxa"/>
            <w:left w:w="15" w:type="dxa"/>
            <w:bottom w:w="15" w:type="dxa"/>
            <w:right w:w="15" w:type="dxa"/>
          </w:tblCellMar>
        </w:tblPrEx>
        <w:trPr>
          <w:trHeight w:val="645" w:hRule="atLeast"/>
        </w:trPr>
        <w:tc>
          <w:tcPr>
            <w:tcW w:w="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10-20层</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市直机关干部周转房</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巨人通力</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直梯</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16</w:t>
            </w:r>
          </w:p>
        </w:tc>
        <w:tc>
          <w:tcPr>
            <w:tcW w:w="567"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kern w:val="0"/>
                <w:sz w:val="24"/>
                <w:lang w:val="en-US" w:eastAsia="zh-CN" w:bidi="ar"/>
              </w:rPr>
              <w:t>7</w:t>
            </w:r>
          </w:p>
        </w:tc>
        <w:tc>
          <w:tcPr>
            <w:tcW w:w="567"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kern w:val="0"/>
                <w:sz w:val="24"/>
                <w:lang w:val="en-US" w:eastAsia="zh-CN" w:bidi="ar"/>
              </w:rPr>
              <w:t>7</w:t>
            </w:r>
          </w:p>
        </w:tc>
        <w:tc>
          <w:tcPr>
            <w:tcW w:w="1012"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color w:val="auto"/>
                <w:sz w:val="24"/>
              </w:rPr>
            </w:pPr>
          </w:p>
        </w:tc>
        <w:tc>
          <w:tcPr>
            <w:tcW w:w="764" w:type="dxa"/>
            <w:tcBorders>
              <w:top w:val="single" w:color="000000" w:sz="4" w:space="0"/>
              <w:left w:val="single" w:color="000000" w:sz="4" w:space="0"/>
              <w:bottom w:val="single" w:color="auto" w:sz="4" w:space="0"/>
              <w:right w:val="single" w:color="auto" w:sz="4" w:space="0"/>
            </w:tcBorders>
            <w:noWrap w:val="0"/>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12</w:t>
            </w:r>
          </w:p>
        </w:tc>
        <w:tc>
          <w:tcPr>
            <w:tcW w:w="776" w:type="dxa"/>
            <w:tcBorders>
              <w:top w:val="single" w:color="000000" w:sz="4" w:space="0"/>
              <w:left w:val="single" w:color="auto" w:sz="4" w:space="0"/>
              <w:bottom w:val="single" w:color="auto" w:sz="4" w:space="0"/>
              <w:right w:val="single" w:color="auto" w:sz="4" w:space="0"/>
            </w:tcBorders>
            <w:noWrap w:val="0"/>
            <w:vAlign w:val="center"/>
          </w:tcPr>
          <w:p>
            <w:pPr>
              <w:jc w:val="center"/>
              <w:textAlignment w:val="center"/>
              <w:rPr>
                <w:rFonts w:hint="eastAsia" w:ascii="宋体" w:hAnsi="宋体" w:cs="宋体"/>
                <w:color w:val="auto"/>
                <w:sz w:val="24"/>
              </w:rPr>
            </w:pPr>
          </w:p>
        </w:tc>
        <w:tc>
          <w:tcPr>
            <w:tcW w:w="992" w:type="dxa"/>
            <w:tcBorders>
              <w:top w:val="single" w:color="000000" w:sz="4" w:space="0"/>
              <w:left w:val="single" w:color="auto" w:sz="4" w:space="0"/>
              <w:bottom w:val="single" w:color="auto" w:sz="4" w:space="0"/>
              <w:right w:val="single" w:color="000000" w:sz="4" w:space="0"/>
            </w:tcBorders>
            <w:noWrap w:val="0"/>
            <w:vAlign w:val="center"/>
          </w:tcPr>
          <w:p>
            <w:pPr>
              <w:jc w:val="center"/>
              <w:textAlignment w:val="center"/>
              <w:rPr>
                <w:rFonts w:hint="eastAsia" w:ascii="宋体" w:hAnsi="宋体" w:cs="宋体"/>
                <w:color w:val="auto"/>
                <w:sz w:val="24"/>
              </w:rPr>
            </w:pPr>
          </w:p>
        </w:tc>
      </w:tr>
      <w:tr>
        <w:tblPrEx>
          <w:tblCellMar>
            <w:top w:w="15" w:type="dxa"/>
            <w:left w:w="15" w:type="dxa"/>
            <w:bottom w:w="15" w:type="dxa"/>
            <w:right w:w="15" w:type="dxa"/>
          </w:tblCellMar>
        </w:tblPrEx>
        <w:trPr>
          <w:trHeight w:val="480" w:hRule="atLeast"/>
        </w:trPr>
        <w:tc>
          <w:tcPr>
            <w:tcW w:w="368"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3</w:t>
            </w:r>
          </w:p>
        </w:tc>
        <w:tc>
          <w:tcPr>
            <w:tcW w:w="640"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20层以上</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龙泽小区</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东芝</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直梯</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30</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kern w:val="0"/>
                <w:sz w:val="24"/>
                <w:lang w:val="en-US" w:eastAsia="zh-CN" w:bidi="ar"/>
              </w:rPr>
              <w:t>8</w:t>
            </w:r>
          </w:p>
        </w:tc>
        <w:tc>
          <w:tcPr>
            <w:tcW w:w="567"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kern w:val="0"/>
                <w:sz w:val="24"/>
                <w:lang w:val="en-US" w:eastAsia="zh-CN" w:bidi="ar"/>
              </w:rPr>
              <w:t>34</w:t>
            </w:r>
          </w:p>
        </w:tc>
        <w:tc>
          <w:tcPr>
            <w:tcW w:w="1012"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p>
        </w:tc>
        <w:tc>
          <w:tcPr>
            <w:tcW w:w="764" w:type="dxa"/>
            <w:vMerge w:val="restart"/>
            <w:tcBorders>
              <w:top w:val="single" w:color="000000" w:sz="4" w:space="0"/>
              <w:left w:val="single" w:color="000000" w:sz="4" w:space="0"/>
              <w:right w:val="single" w:color="auto" w:sz="4" w:space="0"/>
            </w:tcBorders>
            <w:noWrap w:val="0"/>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12</w:t>
            </w:r>
          </w:p>
        </w:tc>
        <w:tc>
          <w:tcPr>
            <w:tcW w:w="776" w:type="dxa"/>
            <w:vMerge w:val="restart"/>
            <w:tcBorders>
              <w:top w:val="single" w:color="000000" w:sz="4" w:space="0"/>
              <w:left w:val="single" w:color="auto" w:sz="4" w:space="0"/>
              <w:right w:val="single" w:color="auto" w:sz="4" w:space="0"/>
            </w:tcBorders>
            <w:noWrap w:val="0"/>
            <w:vAlign w:val="center"/>
          </w:tcPr>
          <w:p>
            <w:pPr>
              <w:jc w:val="center"/>
              <w:textAlignment w:val="center"/>
              <w:rPr>
                <w:rFonts w:hint="eastAsia" w:ascii="宋体" w:hAnsi="宋体" w:cs="宋体"/>
                <w:color w:val="auto"/>
                <w:kern w:val="0"/>
                <w:sz w:val="24"/>
                <w:lang w:bidi="ar"/>
              </w:rPr>
            </w:pPr>
          </w:p>
        </w:tc>
        <w:tc>
          <w:tcPr>
            <w:tcW w:w="992" w:type="dxa"/>
            <w:vMerge w:val="restart"/>
            <w:tcBorders>
              <w:top w:val="single" w:color="000000" w:sz="4" w:space="0"/>
              <w:left w:val="single" w:color="auto" w:sz="4" w:space="0"/>
              <w:right w:val="single" w:color="000000" w:sz="4" w:space="0"/>
            </w:tcBorders>
            <w:noWrap w:val="0"/>
            <w:vAlign w:val="center"/>
          </w:tcPr>
          <w:p>
            <w:pPr>
              <w:jc w:val="center"/>
              <w:textAlignment w:val="center"/>
              <w:rPr>
                <w:rFonts w:hint="eastAsia" w:ascii="宋体" w:hAnsi="宋体" w:cs="宋体"/>
                <w:color w:val="auto"/>
                <w:sz w:val="24"/>
              </w:rPr>
            </w:pPr>
          </w:p>
        </w:tc>
      </w:tr>
      <w:tr>
        <w:tblPrEx>
          <w:tblCellMar>
            <w:top w:w="15" w:type="dxa"/>
            <w:left w:w="15" w:type="dxa"/>
            <w:bottom w:w="15" w:type="dxa"/>
            <w:right w:w="15" w:type="dxa"/>
          </w:tblCellMar>
        </w:tblPrEx>
        <w:trPr>
          <w:trHeight w:val="435" w:hRule="atLeast"/>
        </w:trPr>
        <w:tc>
          <w:tcPr>
            <w:tcW w:w="368" w:type="dxa"/>
            <w:vMerge w:val="continue"/>
            <w:tcBorders>
              <w:left w:val="single" w:color="000000" w:sz="4" w:space="0"/>
              <w:right w:val="single" w:color="000000" w:sz="4" w:space="0"/>
            </w:tcBorders>
            <w:noWrap w:val="0"/>
            <w:vAlign w:val="center"/>
          </w:tcPr>
          <w:p>
            <w:pPr>
              <w:jc w:val="center"/>
              <w:rPr>
                <w:rFonts w:hint="eastAsia" w:ascii="宋体" w:hAnsi="宋体" w:cs="宋体"/>
                <w:color w:val="auto"/>
                <w:sz w:val="24"/>
              </w:rPr>
            </w:pPr>
          </w:p>
        </w:tc>
        <w:tc>
          <w:tcPr>
            <w:tcW w:w="640" w:type="dxa"/>
            <w:vMerge w:val="continue"/>
            <w:tcBorders>
              <w:left w:val="single" w:color="000000" w:sz="4" w:space="0"/>
              <w:right w:val="single" w:color="000000" w:sz="4" w:space="0"/>
            </w:tcBorders>
            <w:noWrap w:val="0"/>
            <w:vAlign w:val="center"/>
          </w:tcPr>
          <w:p>
            <w:pPr>
              <w:jc w:val="center"/>
              <w:rPr>
                <w:rFonts w:hint="eastAsia" w:ascii="宋体" w:hAnsi="宋体" w:cs="宋体"/>
                <w:color w:val="auto"/>
                <w:sz w:val="24"/>
              </w:rPr>
            </w:pP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泰和人家</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奥的斯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直梯</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30</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lang w:val="en-US" w:eastAsia="zh-CN"/>
              </w:rPr>
            </w:pPr>
            <w:r>
              <w:rPr>
                <w:rFonts w:hint="eastAsia" w:ascii="宋体" w:hAnsi="宋体" w:cs="宋体"/>
                <w:color w:val="auto"/>
                <w:kern w:val="0"/>
                <w:sz w:val="24"/>
                <w:lang w:bidi="ar"/>
              </w:rPr>
              <w:t>6</w:t>
            </w:r>
            <w:r>
              <w:rPr>
                <w:rFonts w:hint="eastAsia" w:ascii="宋体" w:hAnsi="宋体" w:cs="宋体"/>
                <w:color w:val="auto"/>
                <w:kern w:val="0"/>
                <w:sz w:val="24"/>
                <w:lang w:val="en-US" w:eastAsia="zh-CN" w:bidi="ar"/>
              </w:rPr>
              <w:t>6</w:t>
            </w:r>
          </w:p>
        </w:tc>
        <w:tc>
          <w:tcPr>
            <w:tcW w:w="567" w:type="dxa"/>
            <w:vMerge w:val="continue"/>
            <w:tcBorders>
              <w:left w:val="single" w:color="000000" w:sz="4" w:space="0"/>
              <w:right w:val="single" w:color="000000" w:sz="4" w:space="0"/>
            </w:tcBorders>
            <w:noWrap w:val="0"/>
            <w:vAlign w:val="center"/>
          </w:tcPr>
          <w:p>
            <w:pPr>
              <w:jc w:val="center"/>
              <w:rPr>
                <w:rFonts w:hint="eastAsia" w:ascii="宋体" w:hAnsi="宋体" w:cs="宋体"/>
                <w:color w:val="auto"/>
                <w:sz w:val="24"/>
              </w:rPr>
            </w:pPr>
          </w:p>
        </w:tc>
        <w:tc>
          <w:tcPr>
            <w:tcW w:w="1012" w:type="dxa"/>
            <w:vMerge w:val="continue"/>
            <w:tcBorders>
              <w:left w:val="single" w:color="000000" w:sz="4" w:space="0"/>
              <w:right w:val="single" w:color="000000" w:sz="4" w:space="0"/>
            </w:tcBorders>
            <w:noWrap w:val="0"/>
            <w:vAlign w:val="center"/>
          </w:tcPr>
          <w:p>
            <w:pPr>
              <w:jc w:val="center"/>
              <w:rPr>
                <w:rFonts w:hint="eastAsia" w:ascii="宋体" w:hAnsi="宋体" w:cs="宋体"/>
                <w:color w:val="auto"/>
                <w:sz w:val="24"/>
              </w:rPr>
            </w:pPr>
          </w:p>
        </w:tc>
        <w:tc>
          <w:tcPr>
            <w:tcW w:w="764" w:type="dxa"/>
            <w:vMerge w:val="continue"/>
            <w:tcBorders>
              <w:left w:val="single" w:color="000000" w:sz="4" w:space="0"/>
              <w:right w:val="single" w:color="auto" w:sz="4" w:space="0"/>
            </w:tcBorders>
            <w:noWrap w:val="0"/>
            <w:vAlign w:val="center"/>
          </w:tcPr>
          <w:p>
            <w:pPr>
              <w:jc w:val="center"/>
              <w:rPr>
                <w:rFonts w:hint="eastAsia" w:ascii="宋体" w:hAnsi="宋体" w:cs="宋体"/>
                <w:color w:val="auto"/>
                <w:sz w:val="24"/>
              </w:rPr>
            </w:pPr>
          </w:p>
        </w:tc>
        <w:tc>
          <w:tcPr>
            <w:tcW w:w="776" w:type="dxa"/>
            <w:vMerge w:val="continue"/>
            <w:tcBorders>
              <w:left w:val="single" w:color="auto" w:sz="4" w:space="0"/>
              <w:right w:val="single" w:color="auto" w:sz="4" w:space="0"/>
            </w:tcBorders>
            <w:noWrap w:val="0"/>
            <w:vAlign w:val="center"/>
          </w:tcPr>
          <w:p>
            <w:pPr>
              <w:jc w:val="center"/>
              <w:rPr>
                <w:rFonts w:hint="eastAsia" w:ascii="宋体" w:hAnsi="宋体" w:cs="宋体"/>
                <w:color w:val="auto"/>
                <w:sz w:val="24"/>
              </w:rPr>
            </w:pPr>
          </w:p>
        </w:tc>
        <w:tc>
          <w:tcPr>
            <w:tcW w:w="992" w:type="dxa"/>
            <w:vMerge w:val="continue"/>
            <w:tcBorders>
              <w:left w:val="single" w:color="auto" w:sz="4" w:space="0"/>
              <w:right w:val="single" w:color="000000" w:sz="4" w:space="0"/>
            </w:tcBorders>
            <w:noWrap w:val="0"/>
            <w:vAlign w:val="center"/>
          </w:tcPr>
          <w:p>
            <w:pPr>
              <w:jc w:val="center"/>
              <w:rPr>
                <w:rFonts w:hint="eastAsia" w:ascii="宋体" w:hAnsi="宋体" w:cs="宋体"/>
                <w:color w:val="auto"/>
                <w:sz w:val="24"/>
              </w:rPr>
            </w:pPr>
          </w:p>
        </w:tc>
      </w:tr>
      <w:tr>
        <w:tblPrEx>
          <w:tblCellMar>
            <w:top w:w="15" w:type="dxa"/>
            <w:left w:w="15" w:type="dxa"/>
            <w:bottom w:w="15" w:type="dxa"/>
            <w:right w:w="15" w:type="dxa"/>
          </w:tblCellMar>
        </w:tblPrEx>
        <w:trPr>
          <w:trHeight w:val="570" w:hRule="atLeast"/>
        </w:trPr>
        <w:tc>
          <w:tcPr>
            <w:tcW w:w="368" w:type="dxa"/>
            <w:vMerge w:val="continue"/>
            <w:tcBorders>
              <w:left w:val="single" w:color="000000" w:sz="4" w:space="0"/>
              <w:right w:val="single" w:color="000000" w:sz="4" w:space="0"/>
            </w:tcBorders>
            <w:noWrap w:val="0"/>
            <w:vAlign w:val="center"/>
          </w:tcPr>
          <w:p>
            <w:pPr>
              <w:jc w:val="center"/>
              <w:rPr>
                <w:rFonts w:hint="eastAsia" w:ascii="宋体" w:hAnsi="宋体" w:cs="宋体"/>
                <w:color w:val="auto"/>
                <w:sz w:val="24"/>
              </w:rPr>
            </w:pPr>
          </w:p>
        </w:tc>
        <w:tc>
          <w:tcPr>
            <w:tcW w:w="640" w:type="dxa"/>
            <w:vMerge w:val="continue"/>
            <w:tcBorders>
              <w:left w:val="single" w:color="000000" w:sz="4" w:space="0"/>
              <w:right w:val="single" w:color="000000" w:sz="4" w:space="0"/>
            </w:tcBorders>
            <w:noWrap w:val="0"/>
            <w:vAlign w:val="center"/>
          </w:tcPr>
          <w:p>
            <w:pPr>
              <w:jc w:val="center"/>
              <w:rPr>
                <w:rFonts w:hint="eastAsia" w:ascii="宋体" w:hAnsi="宋体" w:cs="宋体"/>
                <w:color w:val="auto"/>
                <w:sz w:val="24"/>
              </w:rPr>
            </w:pP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白沙安置房小区</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kern w:val="0"/>
                <w:sz w:val="24"/>
                <w:lang w:bidi="ar"/>
              </w:rPr>
              <w:t>西继迅</w:t>
            </w:r>
            <w:r>
              <w:rPr>
                <w:rFonts w:hint="eastAsia" w:ascii="宋体" w:hAnsi="宋体" w:cs="宋体"/>
                <w:color w:val="auto"/>
                <w:kern w:val="0"/>
                <w:sz w:val="24"/>
                <w:lang w:val="en-US" w:eastAsia="zh-CN" w:bidi="ar"/>
              </w:rPr>
              <w:t>达</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直梯</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32</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kern w:val="0"/>
                <w:sz w:val="24"/>
                <w:lang w:bidi="ar"/>
              </w:rPr>
              <w:t>10</w:t>
            </w:r>
          </w:p>
        </w:tc>
        <w:tc>
          <w:tcPr>
            <w:tcW w:w="567" w:type="dxa"/>
            <w:vMerge w:val="continue"/>
            <w:tcBorders>
              <w:left w:val="single" w:color="000000" w:sz="4" w:space="0"/>
              <w:right w:val="single" w:color="000000" w:sz="4" w:space="0"/>
            </w:tcBorders>
            <w:noWrap w:val="0"/>
            <w:vAlign w:val="center"/>
          </w:tcPr>
          <w:p>
            <w:pPr>
              <w:jc w:val="center"/>
              <w:rPr>
                <w:rFonts w:hint="eastAsia" w:ascii="宋体" w:hAnsi="宋体" w:cs="宋体"/>
                <w:color w:val="auto"/>
                <w:sz w:val="24"/>
              </w:rPr>
            </w:pPr>
          </w:p>
        </w:tc>
        <w:tc>
          <w:tcPr>
            <w:tcW w:w="1012" w:type="dxa"/>
            <w:vMerge w:val="continue"/>
            <w:tcBorders>
              <w:left w:val="single" w:color="000000" w:sz="4" w:space="0"/>
              <w:right w:val="single" w:color="000000" w:sz="4" w:space="0"/>
            </w:tcBorders>
            <w:noWrap w:val="0"/>
            <w:vAlign w:val="center"/>
          </w:tcPr>
          <w:p>
            <w:pPr>
              <w:jc w:val="center"/>
              <w:rPr>
                <w:rFonts w:hint="eastAsia" w:ascii="宋体" w:hAnsi="宋体" w:cs="宋体"/>
                <w:color w:val="auto"/>
                <w:sz w:val="24"/>
              </w:rPr>
            </w:pPr>
          </w:p>
        </w:tc>
        <w:tc>
          <w:tcPr>
            <w:tcW w:w="764" w:type="dxa"/>
            <w:vMerge w:val="continue"/>
            <w:tcBorders>
              <w:left w:val="single" w:color="000000" w:sz="4" w:space="0"/>
              <w:right w:val="single" w:color="auto" w:sz="4" w:space="0"/>
            </w:tcBorders>
            <w:noWrap w:val="0"/>
            <w:vAlign w:val="center"/>
          </w:tcPr>
          <w:p>
            <w:pPr>
              <w:jc w:val="center"/>
              <w:rPr>
                <w:rFonts w:hint="eastAsia" w:ascii="宋体" w:hAnsi="宋体" w:cs="宋体"/>
                <w:color w:val="auto"/>
                <w:sz w:val="24"/>
              </w:rPr>
            </w:pPr>
          </w:p>
        </w:tc>
        <w:tc>
          <w:tcPr>
            <w:tcW w:w="776" w:type="dxa"/>
            <w:vMerge w:val="continue"/>
            <w:tcBorders>
              <w:left w:val="single" w:color="auto" w:sz="4" w:space="0"/>
              <w:right w:val="single" w:color="auto" w:sz="4" w:space="0"/>
            </w:tcBorders>
            <w:noWrap w:val="0"/>
            <w:vAlign w:val="center"/>
          </w:tcPr>
          <w:p>
            <w:pPr>
              <w:jc w:val="center"/>
              <w:rPr>
                <w:rFonts w:hint="eastAsia" w:ascii="宋体" w:hAnsi="宋体" w:cs="宋体"/>
                <w:color w:val="auto"/>
                <w:sz w:val="24"/>
              </w:rPr>
            </w:pPr>
          </w:p>
        </w:tc>
        <w:tc>
          <w:tcPr>
            <w:tcW w:w="992" w:type="dxa"/>
            <w:vMerge w:val="continue"/>
            <w:tcBorders>
              <w:left w:val="single" w:color="auto" w:sz="4" w:space="0"/>
              <w:right w:val="single" w:color="000000" w:sz="4" w:space="0"/>
            </w:tcBorders>
            <w:noWrap w:val="0"/>
            <w:vAlign w:val="center"/>
          </w:tcPr>
          <w:p>
            <w:pPr>
              <w:jc w:val="center"/>
              <w:rPr>
                <w:rFonts w:hint="eastAsia" w:ascii="宋体" w:hAnsi="宋体" w:cs="宋体"/>
                <w:color w:val="auto"/>
                <w:sz w:val="24"/>
              </w:rPr>
            </w:pPr>
          </w:p>
        </w:tc>
      </w:tr>
      <w:tr>
        <w:tblPrEx>
          <w:tblCellMar>
            <w:top w:w="15" w:type="dxa"/>
            <w:left w:w="15" w:type="dxa"/>
            <w:bottom w:w="15" w:type="dxa"/>
            <w:right w:w="15" w:type="dxa"/>
          </w:tblCellMar>
        </w:tblPrEx>
        <w:trPr>
          <w:trHeight w:val="570" w:hRule="atLeast"/>
        </w:trPr>
        <w:tc>
          <w:tcPr>
            <w:tcW w:w="368" w:type="dxa"/>
            <w:vMerge w:val="continue"/>
            <w:tcBorders>
              <w:left w:val="single" w:color="000000" w:sz="4" w:space="0"/>
              <w:right w:val="single" w:color="000000" w:sz="4" w:space="0"/>
            </w:tcBorders>
            <w:noWrap w:val="0"/>
            <w:vAlign w:val="center"/>
          </w:tcPr>
          <w:p>
            <w:pPr>
              <w:jc w:val="center"/>
              <w:rPr>
                <w:rFonts w:hint="eastAsia" w:ascii="宋体" w:hAnsi="宋体" w:cs="宋体"/>
                <w:color w:val="auto"/>
                <w:sz w:val="24"/>
              </w:rPr>
            </w:pPr>
          </w:p>
        </w:tc>
        <w:tc>
          <w:tcPr>
            <w:tcW w:w="640" w:type="dxa"/>
            <w:vMerge w:val="continue"/>
            <w:tcBorders>
              <w:left w:val="single" w:color="000000" w:sz="4" w:space="0"/>
              <w:right w:val="single" w:color="000000" w:sz="4" w:space="0"/>
            </w:tcBorders>
            <w:noWrap w:val="0"/>
            <w:vAlign w:val="center"/>
          </w:tcPr>
          <w:p>
            <w:pPr>
              <w:jc w:val="center"/>
              <w:rPr>
                <w:rFonts w:hint="eastAsia" w:ascii="宋体" w:hAnsi="宋体" w:cs="宋体"/>
                <w:color w:val="auto"/>
                <w:sz w:val="24"/>
              </w:rPr>
            </w:pP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lang w:val="en-US" w:eastAsia="zh-CN" w:bidi="ar"/>
              </w:rPr>
              <w:t>森邻人家</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4"/>
                <w:szCs w:val="24"/>
                <w:lang w:val="en-US" w:eastAsia="zh-CN" w:bidi="ar"/>
              </w:rPr>
            </w:pPr>
            <w:r>
              <w:rPr>
                <w:rFonts w:hint="eastAsia" w:ascii="宋体" w:hAnsi="宋体" w:cs="宋体"/>
                <w:color w:val="auto"/>
                <w:kern w:val="0"/>
                <w:sz w:val="24"/>
                <w:lang w:bidi="ar"/>
              </w:rPr>
              <w:t>奥的斯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4"/>
                <w:lang w:bidi="ar"/>
              </w:rPr>
            </w:pPr>
            <w:r>
              <w:rPr>
                <w:rFonts w:hint="eastAsia" w:ascii="宋体" w:hAnsi="宋体" w:cs="宋体"/>
                <w:color w:val="auto"/>
                <w:kern w:val="0"/>
                <w:sz w:val="24"/>
                <w:lang w:bidi="ar"/>
              </w:rPr>
              <w:t>直梯</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auto"/>
                <w:kern w:val="0"/>
                <w:sz w:val="24"/>
                <w:lang w:val="en-US" w:eastAsia="zh-CN" w:bidi="ar"/>
              </w:rPr>
            </w:pPr>
            <w:r>
              <w:rPr>
                <w:rFonts w:hint="eastAsia" w:ascii="宋体" w:hAnsi="宋体" w:cs="宋体"/>
                <w:color w:val="auto"/>
                <w:kern w:val="0"/>
                <w:sz w:val="24"/>
                <w:lang w:val="en-US" w:eastAsia="zh-CN" w:bidi="ar"/>
              </w:rPr>
              <w:t>22</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4"/>
                <w:lang w:val="en-US" w:eastAsia="zh-CN" w:bidi="ar"/>
              </w:rPr>
            </w:pPr>
            <w:r>
              <w:rPr>
                <w:rFonts w:hint="eastAsia" w:ascii="宋体" w:hAnsi="宋体" w:cs="宋体"/>
                <w:color w:val="auto"/>
                <w:kern w:val="0"/>
                <w:sz w:val="24"/>
                <w:lang w:val="en-US" w:eastAsia="zh-CN" w:bidi="ar"/>
              </w:rPr>
              <w:t>2</w:t>
            </w:r>
          </w:p>
        </w:tc>
        <w:tc>
          <w:tcPr>
            <w:tcW w:w="567" w:type="dxa"/>
            <w:vMerge w:val="continue"/>
            <w:tcBorders>
              <w:left w:val="single" w:color="000000" w:sz="4" w:space="0"/>
              <w:right w:val="single" w:color="000000" w:sz="4" w:space="0"/>
            </w:tcBorders>
            <w:noWrap w:val="0"/>
            <w:vAlign w:val="center"/>
          </w:tcPr>
          <w:p>
            <w:pPr>
              <w:jc w:val="center"/>
              <w:rPr>
                <w:rFonts w:hint="eastAsia" w:ascii="宋体" w:hAnsi="宋体" w:cs="宋体"/>
                <w:color w:val="auto"/>
                <w:sz w:val="24"/>
              </w:rPr>
            </w:pPr>
          </w:p>
        </w:tc>
        <w:tc>
          <w:tcPr>
            <w:tcW w:w="1012" w:type="dxa"/>
            <w:vMerge w:val="continue"/>
            <w:tcBorders>
              <w:left w:val="single" w:color="000000" w:sz="4" w:space="0"/>
              <w:right w:val="single" w:color="000000" w:sz="4" w:space="0"/>
            </w:tcBorders>
            <w:noWrap w:val="0"/>
            <w:vAlign w:val="center"/>
          </w:tcPr>
          <w:p>
            <w:pPr>
              <w:jc w:val="center"/>
              <w:rPr>
                <w:rFonts w:hint="eastAsia" w:ascii="宋体" w:hAnsi="宋体" w:cs="宋体"/>
                <w:color w:val="auto"/>
                <w:sz w:val="24"/>
              </w:rPr>
            </w:pPr>
          </w:p>
        </w:tc>
        <w:tc>
          <w:tcPr>
            <w:tcW w:w="764" w:type="dxa"/>
            <w:vMerge w:val="continue"/>
            <w:tcBorders>
              <w:left w:val="single" w:color="000000" w:sz="4" w:space="0"/>
              <w:right w:val="single" w:color="auto" w:sz="4" w:space="0"/>
            </w:tcBorders>
            <w:noWrap w:val="0"/>
            <w:vAlign w:val="center"/>
          </w:tcPr>
          <w:p>
            <w:pPr>
              <w:jc w:val="center"/>
              <w:rPr>
                <w:rFonts w:hint="eastAsia" w:ascii="宋体" w:hAnsi="宋体" w:cs="宋体"/>
                <w:color w:val="auto"/>
                <w:sz w:val="24"/>
              </w:rPr>
            </w:pPr>
          </w:p>
        </w:tc>
        <w:tc>
          <w:tcPr>
            <w:tcW w:w="776" w:type="dxa"/>
            <w:vMerge w:val="continue"/>
            <w:tcBorders>
              <w:left w:val="single" w:color="auto" w:sz="4" w:space="0"/>
              <w:right w:val="single" w:color="auto" w:sz="4" w:space="0"/>
            </w:tcBorders>
            <w:noWrap w:val="0"/>
            <w:vAlign w:val="center"/>
          </w:tcPr>
          <w:p>
            <w:pPr>
              <w:jc w:val="center"/>
              <w:rPr>
                <w:rFonts w:hint="eastAsia" w:ascii="宋体" w:hAnsi="宋体" w:cs="宋体"/>
                <w:color w:val="auto"/>
                <w:sz w:val="24"/>
              </w:rPr>
            </w:pPr>
          </w:p>
        </w:tc>
        <w:tc>
          <w:tcPr>
            <w:tcW w:w="992" w:type="dxa"/>
            <w:vMerge w:val="continue"/>
            <w:tcBorders>
              <w:left w:val="single" w:color="auto" w:sz="4" w:space="0"/>
              <w:right w:val="single" w:color="000000" w:sz="4" w:space="0"/>
            </w:tcBorders>
            <w:noWrap w:val="0"/>
            <w:vAlign w:val="center"/>
          </w:tcPr>
          <w:p>
            <w:pPr>
              <w:jc w:val="center"/>
              <w:rPr>
                <w:rFonts w:hint="eastAsia" w:ascii="宋体" w:hAnsi="宋体" w:cs="宋体"/>
                <w:color w:val="auto"/>
                <w:sz w:val="24"/>
              </w:rPr>
            </w:pPr>
          </w:p>
        </w:tc>
      </w:tr>
      <w:tr>
        <w:tblPrEx>
          <w:tblCellMar>
            <w:top w:w="15" w:type="dxa"/>
            <w:left w:w="15" w:type="dxa"/>
            <w:bottom w:w="15" w:type="dxa"/>
            <w:right w:w="15" w:type="dxa"/>
          </w:tblCellMar>
        </w:tblPrEx>
        <w:trPr>
          <w:trHeight w:val="570" w:hRule="atLeast"/>
        </w:trPr>
        <w:tc>
          <w:tcPr>
            <w:tcW w:w="368" w:type="dxa"/>
            <w:vMerge w:val="continue"/>
            <w:tcBorders>
              <w:left w:val="single" w:color="000000" w:sz="4" w:space="0"/>
              <w:right w:val="single" w:color="000000" w:sz="4" w:space="0"/>
            </w:tcBorders>
            <w:noWrap w:val="0"/>
            <w:vAlign w:val="center"/>
          </w:tcPr>
          <w:p>
            <w:pPr>
              <w:jc w:val="center"/>
              <w:rPr>
                <w:rFonts w:hint="eastAsia" w:ascii="宋体" w:hAnsi="宋体" w:cs="宋体"/>
                <w:color w:val="auto"/>
                <w:sz w:val="24"/>
              </w:rPr>
            </w:pPr>
          </w:p>
        </w:tc>
        <w:tc>
          <w:tcPr>
            <w:tcW w:w="640" w:type="dxa"/>
            <w:vMerge w:val="continue"/>
            <w:tcBorders>
              <w:left w:val="single" w:color="000000" w:sz="4" w:space="0"/>
              <w:right w:val="single" w:color="000000" w:sz="4" w:space="0"/>
            </w:tcBorders>
            <w:noWrap w:val="0"/>
            <w:vAlign w:val="center"/>
          </w:tcPr>
          <w:p>
            <w:pPr>
              <w:jc w:val="center"/>
              <w:rPr>
                <w:rFonts w:hint="eastAsia" w:ascii="宋体" w:hAnsi="宋体" w:cs="宋体"/>
                <w:color w:val="auto"/>
                <w:sz w:val="24"/>
              </w:rPr>
            </w:pP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lang w:val="en-US" w:eastAsia="zh-CN" w:bidi="ar"/>
              </w:rPr>
              <w:t>佳和人家</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lang w:val="en-US" w:eastAsia="zh-CN" w:bidi="ar"/>
              </w:rPr>
              <w:t>巨人通力</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4"/>
                <w:lang w:bidi="ar"/>
              </w:rPr>
            </w:pPr>
            <w:r>
              <w:rPr>
                <w:rFonts w:hint="eastAsia" w:ascii="宋体" w:hAnsi="宋体" w:cs="宋体"/>
                <w:color w:val="auto"/>
                <w:kern w:val="0"/>
                <w:sz w:val="24"/>
                <w:lang w:bidi="ar"/>
              </w:rPr>
              <w:t>直梯</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auto"/>
                <w:kern w:val="0"/>
                <w:sz w:val="24"/>
                <w:lang w:val="en-US" w:eastAsia="zh-CN" w:bidi="ar"/>
              </w:rPr>
            </w:pPr>
            <w:r>
              <w:rPr>
                <w:rFonts w:hint="eastAsia" w:ascii="宋体" w:hAnsi="宋体" w:cs="宋体"/>
                <w:color w:val="auto"/>
                <w:kern w:val="0"/>
                <w:sz w:val="24"/>
                <w:lang w:val="en-US" w:eastAsia="zh-CN" w:bidi="ar"/>
              </w:rPr>
              <w:t>31</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4"/>
                <w:lang w:val="en-US" w:eastAsia="zh-CN" w:bidi="ar"/>
              </w:rPr>
            </w:pPr>
            <w:r>
              <w:rPr>
                <w:rFonts w:hint="eastAsia" w:ascii="宋体" w:hAnsi="宋体" w:cs="宋体"/>
                <w:color w:val="auto"/>
                <w:kern w:val="0"/>
                <w:sz w:val="24"/>
                <w:lang w:val="en-US" w:eastAsia="zh-CN" w:bidi="ar"/>
              </w:rPr>
              <w:t>4</w:t>
            </w:r>
          </w:p>
        </w:tc>
        <w:tc>
          <w:tcPr>
            <w:tcW w:w="567" w:type="dxa"/>
            <w:vMerge w:val="continue"/>
            <w:tcBorders>
              <w:left w:val="single" w:color="000000" w:sz="4" w:space="0"/>
              <w:right w:val="single" w:color="000000" w:sz="4" w:space="0"/>
            </w:tcBorders>
            <w:noWrap w:val="0"/>
            <w:vAlign w:val="center"/>
          </w:tcPr>
          <w:p>
            <w:pPr>
              <w:jc w:val="center"/>
              <w:rPr>
                <w:rFonts w:hint="eastAsia" w:ascii="宋体" w:hAnsi="宋体" w:cs="宋体"/>
                <w:color w:val="auto"/>
                <w:sz w:val="24"/>
              </w:rPr>
            </w:pPr>
          </w:p>
        </w:tc>
        <w:tc>
          <w:tcPr>
            <w:tcW w:w="1012" w:type="dxa"/>
            <w:vMerge w:val="continue"/>
            <w:tcBorders>
              <w:left w:val="single" w:color="000000" w:sz="4" w:space="0"/>
              <w:right w:val="single" w:color="000000" w:sz="4" w:space="0"/>
            </w:tcBorders>
            <w:noWrap w:val="0"/>
            <w:vAlign w:val="center"/>
          </w:tcPr>
          <w:p>
            <w:pPr>
              <w:jc w:val="center"/>
              <w:rPr>
                <w:rFonts w:hint="eastAsia" w:ascii="宋体" w:hAnsi="宋体" w:cs="宋体"/>
                <w:color w:val="auto"/>
                <w:sz w:val="24"/>
              </w:rPr>
            </w:pPr>
          </w:p>
        </w:tc>
        <w:tc>
          <w:tcPr>
            <w:tcW w:w="764" w:type="dxa"/>
            <w:vMerge w:val="continue"/>
            <w:tcBorders>
              <w:left w:val="single" w:color="000000" w:sz="4" w:space="0"/>
              <w:right w:val="single" w:color="auto" w:sz="4" w:space="0"/>
            </w:tcBorders>
            <w:noWrap w:val="0"/>
            <w:vAlign w:val="center"/>
          </w:tcPr>
          <w:p>
            <w:pPr>
              <w:jc w:val="center"/>
              <w:rPr>
                <w:rFonts w:hint="eastAsia" w:ascii="宋体" w:hAnsi="宋体" w:cs="宋体"/>
                <w:color w:val="auto"/>
                <w:sz w:val="24"/>
              </w:rPr>
            </w:pPr>
          </w:p>
        </w:tc>
        <w:tc>
          <w:tcPr>
            <w:tcW w:w="776" w:type="dxa"/>
            <w:vMerge w:val="continue"/>
            <w:tcBorders>
              <w:left w:val="single" w:color="auto" w:sz="4" w:space="0"/>
              <w:right w:val="single" w:color="auto" w:sz="4" w:space="0"/>
            </w:tcBorders>
            <w:noWrap w:val="0"/>
            <w:vAlign w:val="center"/>
          </w:tcPr>
          <w:p>
            <w:pPr>
              <w:jc w:val="center"/>
              <w:rPr>
                <w:rFonts w:hint="eastAsia" w:ascii="宋体" w:hAnsi="宋体" w:cs="宋体"/>
                <w:color w:val="auto"/>
                <w:sz w:val="24"/>
              </w:rPr>
            </w:pPr>
          </w:p>
        </w:tc>
        <w:tc>
          <w:tcPr>
            <w:tcW w:w="992" w:type="dxa"/>
            <w:vMerge w:val="continue"/>
            <w:tcBorders>
              <w:left w:val="single" w:color="auto" w:sz="4" w:space="0"/>
              <w:right w:val="single" w:color="000000" w:sz="4" w:space="0"/>
            </w:tcBorders>
            <w:noWrap w:val="0"/>
            <w:vAlign w:val="center"/>
          </w:tcPr>
          <w:p>
            <w:pPr>
              <w:jc w:val="center"/>
              <w:rPr>
                <w:rFonts w:hint="eastAsia" w:ascii="宋体" w:hAnsi="宋体" w:cs="宋体"/>
                <w:color w:val="auto"/>
                <w:sz w:val="24"/>
              </w:rPr>
            </w:pPr>
          </w:p>
        </w:tc>
      </w:tr>
      <w:tr>
        <w:tblPrEx>
          <w:tblCellMar>
            <w:top w:w="15" w:type="dxa"/>
            <w:left w:w="15" w:type="dxa"/>
            <w:bottom w:w="15" w:type="dxa"/>
            <w:right w:w="15" w:type="dxa"/>
          </w:tblCellMar>
        </w:tblPrEx>
        <w:trPr>
          <w:trHeight w:val="570" w:hRule="atLeast"/>
        </w:trPr>
        <w:tc>
          <w:tcPr>
            <w:tcW w:w="368"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rPr>
            </w:pPr>
          </w:p>
        </w:tc>
        <w:tc>
          <w:tcPr>
            <w:tcW w:w="640"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rPr>
            </w:pP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4"/>
                <w:lang w:bidi="ar"/>
              </w:rPr>
            </w:pPr>
            <w:r>
              <w:rPr>
                <w:rFonts w:hint="eastAsia" w:ascii="宋体" w:hAnsi="宋体" w:cs="宋体"/>
                <w:color w:val="auto"/>
                <w:kern w:val="0"/>
                <w:sz w:val="24"/>
                <w:lang w:val="en-US" w:eastAsia="zh-CN" w:bidi="ar"/>
              </w:rPr>
              <w:t>佳和人家</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4"/>
                <w:lang w:bidi="ar"/>
              </w:rPr>
            </w:pPr>
            <w:r>
              <w:rPr>
                <w:rFonts w:hint="eastAsia" w:ascii="宋体" w:hAnsi="宋体" w:cs="宋体"/>
                <w:color w:val="auto"/>
                <w:kern w:val="0"/>
                <w:sz w:val="24"/>
                <w:lang w:val="en-US" w:eastAsia="zh-CN" w:bidi="ar"/>
              </w:rPr>
              <w:t>巨人通力</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4"/>
                <w:lang w:bidi="ar"/>
              </w:rPr>
            </w:pPr>
            <w:r>
              <w:rPr>
                <w:rFonts w:hint="eastAsia" w:ascii="宋体" w:hAnsi="宋体" w:cs="宋体"/>
                <w:color w:val="auto"/>
                <w:kern w:val="0"/>
                <w:sz w:val="24"/>
                <w:lang w:bidi="ar"/>
              </w:rPr>
              <w:t>直梯</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auto"/>
                <w:kern w:val="0"/>
                <w:sz w:val="24"/>
                <w:lang w:val="en-US" w:eastAsia="zh-CN" w:bidi="ar"/>
              </w:rPr>
            </w:pPr>
            <w:r>
              <w:rPr>
                <w:rFonts w:hint="eastAsia" w:ascii="宋体" w:hAnsi="宋体" w:cs="宋体"/>
                <w:color w:val="auto"/>
                <w:kern w:val="0"/>
                <w:sz w:val="24"/>
                <w:lang w:val="en-US" w:eastAsia="zh-CN" w:bidi="ar"/>
              </w:rPr>
              <w:t>33</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4"/>
                <w:lang w:val="en-US" w:eastAsia="zh-CN" w:bidi="ar"/>
              </w:rPr>
            </w:pPr>
            <w:r>
              <w:rPr>
                <w:rFonts w:hint="eastAsia" w:ascii="宋体" w:hAnsi="宋体" w:cs="宋体"/>
                <w:color w:val="auto"/>
                <w:kern w:val="0"/>
                <w:sz w:val="24"/>
                <w:lang w:val="en-US" w:eastAsia="zh-CN" w:bidi="ar"/>
              </w:rPr>
              <w:t>4</w:t>
            </w:r>
          </w:p>
        </w:tc>
        <w:tc>
          <w:tcPr>
            <w:tcW w:w="567"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rPr>
            </w:pPr>
          </w:p>
        </w:tc>
        <w:tc>
          <w:tcPr>
            <w:tcW w:w="1012"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rPr>
            </w:pPr>
          </w:p>
        </w:tc>
        <w:tc>
          <w:tcPr>
            <w:tcW w:w="764" w:type="dxa"/>
            <w:vMerge w:val="continue"/>
            <w:tcBorders>
              <w:left w:val="single" w:color="000000" w:sz="4" w:space="0"/>
              <w:bottom w:val="single" w:color="000000" w:sz="4" w:space="0"/>
              <w:right w:val="single" w:color="auto" w:sz="4" w:space="0"/>
            </w:tcBorders>
            <w:noWrap w:val="0"/>
            <w:vAlign w:val="center"/>
          </w:tcPr>
          <w:p>
            <w:pPr>
              <w:jc w:val="center"/>
              <w:rPr>
                <w:rFonts w:hint="eastAsia" w:ascii="宋体" w:hAnsi="宋体" w:cs="宋体"/>
                <w:color w:val="auto"/>
                <w:sz w:val="24"/>
              </w:rPr>
            </w:pPr>
          </w:p>
        </w:tc>
        <w:tc>
          <w:tcPr>
            <w:tcW w:w="776" w:type="dxa"/>
            <w:vMerge w:val="continue"/>
            <w:tcBorders>
              <w:left w:val="single" w:color="auto" w:sz="4" w:space="0"/>
              <w:bottom w:val="single" w:color="000000" w:sz="4" w:space="0"/>
              <w:right w:val="single" w:color="auto" w:sz="4" w:space="0"/>
            </w:tcBorders>
            <w:noWrap w:val="0"/>
            <w:vAlign w:val="center"/>
          </w:tcPr>
          <w:p>
            <w:pPr>
              <w:jc w:val="center"/>
              <w:rPr>
                <w:rFonts w:hint="eastAsia" w:ascii="宋体" w:hAnsi="宋体" w:cs="宋体"/>
                <w:color w:val="auto"/>
                <w:sz w:val="24"/>
              </w:rPr>
            </w:pPr>
          </w:p>
        </w:tc>
        <w:tc>
          <w:tcPr>
            <w:tcW w:w="992" w:type="dxa"/>
            <w:vMerge w:val="continue"/>
            <w:tcBorders>
              <w:left w:val="single" w:color="auto" w:sz="4" w:space="0"/>
              <w:bottom w:val="single" w:color="000000" w:sz="4" w:space="0"/>
              <w:right w:val="single" w:color="000000" w:sz="4" w:space="0"/>
            </w:tcBorders>
            <w:noWrap w:val="0"/>
            <w:vAlign w:val="center"/>
          </w:tcPr>
          <w:p>
            <w:pPr>
              <w:jc w:val="center"/>
              <w:rPr>
                <w:rFonts w:hint="eastAsia" w:ascii="宋体" w:hAnsi="宋体" w:cs="宋体"/>
                <w:color w:val="auto"/>
                <w:sz w:val="24"/>
              </w:rPr>
            </w:pPr>
          </w:p>
        </w:tc>
      </w:tr>
      <w:tr>
        <w:tblPrEx>
          <w:tblCellMar>
            <w:top w:w="15" w:type="dxa"/>
            <w:left w:w="15" w:type="dxa"/>
            <w:bottom w:w="15" w:type="dxa"/>
            <w:right w:w="15" w:type="dxa"/>
          </w:tblCellMar>
        </w:tblPrEx>
        <w:trPr>
          <w:trHeight w:val="525" w:hRule="atLeast"/>
        </w:trPr>
        <w:tc>
          <w:tcPr>
            <w:tcW w:w="36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4</w:t>
            </w:r>
          </w:p>
        </w:tc>
        <w:tc>
          <w:tcPr>
            <w:tcW w:w="6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扶梯</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动车站</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讯达</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扶梯</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6.8米</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kern w:val="0"/>
                <w:sz w:val="24"/>
                <w:lang w:bidi="ar"/>
              </w:rPr>
              <w:t>1</w:t>
            </w:r>
            <w:r>
              <w:rPr>
                <w:rFonts w:hint="eastAsia" w:ascii="宋体" w:hAnsi="宋体" w:cs="宋体"/>
                <w:color w:val="auto"/>
                <w:kern w:val="0"/>
                <w:sz w:val="24"/>
                <w:lang w:val="en-US" w:eastAsia="zh-CN" w:bidi="ar"/>
              </w:rPr>
              <w:t>0</w:t>
            </w:r>
          </w:p>
        </w:tc>
        <w:tc>
          <w:tcPr>
            <w:tcW w:w="567" w:type="dxa"/>
            <w:vMerge w:val="restart"/>
            <w:tcBorders>
              <w:top w:val="single" w:color="000000" w:sz="4" w:space="0"/>
              <w:left w:val="single" w:color="000000" w:sz="4" w:space="0"/>
              <w:right w:val="single" w:color="000000" w:sz="4" w:space="0"/>
            </w:tcBorders>
            <w:noWrap w:val="0"/>
            <w:vAlign w:val="center"/>
          </w:tcPr>
          <w:p>
            <w:pPr>
              <w:jc w:val="center"/>
              <w:textAlignment w:val="center"/>
              <w:rPr>
                <w:rFonts w:hint="default" w:ascii="宋体" w:hAnsi="宋体" w:eastAsia="宋体" w:cs="宋体"/>
                <w:color w:val="auto"/>
                <w:sz w:val="24"/>
                <w:lang w:val="en-US" w:eastAsia="zh-CN"/>
              </w:rPr>
            </w:pPr>
            <w:r>
              <w:rPr>
                <w:rFonts w:hint="eastAsia" w:ascii="宋体" w:hAnsi="宋体" w:cs="宋体"/>
                <w:color w:val="auto"/>
                <w:kern w:val="0"/>
                <w:sz w:val="24"/>
                <w:lang w:val="en-US" w:eastAsia="zh-CN" w:bidi="ar"/>
              </w:rPr>
              <w:t>20</w:t>
            </w:r>
          </w:p>
        </w:tc>
        <w:tc>
          <w:tcPr>
            <w:tcW w:w="1012"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p>
        </w:tc>
        <w:tc>
          <w:tcPr>
            <w:tcW w:w="764" w:type="dxa"/>
            <w:vMerge w:val="restart"/>
            <w:tcBorders>
              <w:top w:val="single" w:color="000000" w:sz="4" w:space="0"/>
              <w:left w:val="single" w:color="000000" w:sz="4" w:space="0"/>
              <w:right w:val="single" w:color="auto" w:sz="4" w:space="0"/>
            </w:tcBorders>
            <w:noWrap w:val="0"/>
            <w:vAlign w:val="center"/>
          </w:tcPr>
          <w:p>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12</w:t>
            </w:r>
          </w:p>
        </w:tc>
        <w:tc>
          <w:tcPr>
            <w:tcW w:w="776" w:type="dxa"/>
            <w:vMerge w:val="restart"/>
            <w:tcBorders>
              <w:top w:val="single" w:color="000000" w:sz="4" w:space="0"/>
              <w:left w:val="single" w:color="auto" w:sz="4" w:space="0"/>
              <w:right w:val="single" w:color="auto" w:sz="4" w:space="0"/>
            </w:tcBorders>
            <w:noWrap w:val="0"/>
            <w:vAlign w:val="center"/>
          </w:tcPr>
          <w:p>
            <w:pPr>
              <w:jc w:val="center"/>
              <w:textAlignment w:val="center"/>
              <w:rPr>
                <w:rFonts w:hint="eastAsia" w:ascii="宋体" w:hAnsi="宋体" w:cs="宋体"/>
                <w:color w:val="auto"/>
                <w:kern w:val="0"/>
                <w:sz w:val="24"/>
                <w:lang w:bidi="ar"/>
              </w:rPr>
            </w:pPr>
          </w:p>
        </w:tc>
        <w:tc>
          <w:tcPr>
            <w:tcW w:w="992" w:type="dxa"/>
            <w:vMerge w:val="restart"/>
            <w:tcBorders>
              <w:top w:val="single" w:color="000000" w:sz="4" w:space="0"/>
              <w:left w:val="single" w:color="auto" w:sz="4" w:space="0"/>
              <w:right w:val="single" w:color="000000" w:sz="4" w:space="0"/>
            </w:tcBorders>
            <w:noWrap w:val="0"/>
            <w:vAlign w:val="center"/>
          </w:tcPr>
          <w:p>
            <w:pPr>
              <w:jc w:val="center"/>
              <w:rPr>
                <w:rFonts w:hint="eastAsia" w:ascii="宋体" w:hAnsi="宋体" w:cs="宋体"/>
                <w:color w:val="auto"/>
                <w:sz w:val="24"/>
              </w:rPr>
            </w:pPr>
          </w:p>
        </w:tc>
      </w:tr>
      <w:tr>
        <w:tblPrEx>
          <w:tblCellMar>
            <w:top w:w="15" w:type="dxa"/>
            <w:left w:w="15" w:type="dxa"/>
            <w:bottom w:w="15" w:type="dxa"/>
            <w:right w:w="15" w:type="dxa"/>
          </w:tblCellMar>
        </w:tblPrEx>
        <w:trPr>
          <w:trHeight w:val="525" w:hRule="atLeast"/>
        </w:trPr>
        <w:tc>
          <w:tcPr>
            <w:tcW w:w="3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rPr>
            </w:pP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会议中心</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讯达</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扶梯</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6.2米</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10</w:t>
            </w:r>
          </w:p>
        </w:tc>
        <w:tc>
          <w:tcPr>
            <w:tcW w:w="567" w:type="dxa"/>
            <w:vMerge w:val="continue"/>
            <w:tcBorders>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auto"/>
                <w:sz w:val="24"/>
              </w:rPr>
            </w:pPr>
          </w:p>
        </w:tc>
        <w:tc>
          <w:tcPr>
            <w:tcW w:w="1012" w:type="dxa"/>
            <w:vMerge w:val="continue"/>
            <w:tcBorders>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auto"/>
                <w:sz w:val="24"/>
              </w:rPr>
            </w:pPr>
          </w:p>
        </w:tc>
        <w:tc>
          <w:tcPr>
            <w:tcW w:w="764" w:type="dxa"/>
            <w:vMerge w:val="continue"/>
            <w:tcBorders>
              <w:left w:val="single" w:color="000000" w:sz="4" w:space="0"/>
              <w:bottom w:val="single" w:color="000000" w:sz="4" w:space="0"/>
              <w:right w:val="single" w:color="auto" w:sz="4" w:space="0"/>
            </w:tcBorders>
            <w:noWrap w:val="0"/>
            <w:vAlign w:val="center"/>
          </w:tcPr>
          <w:p>
            <w:pPr>
              <w:jc w:val="center"/>
              <w:rPr>
                <w:rFonts w:hint="eastAsia" w:ascii="宋体" w:hAnsi="宋体" w:cs="宋体"/>
                <w:color w:val="auto"/>
                <w:sz w:val="24"/>
              </w:rPr>
            </w:pPr>
          </w:p>
        </w:tc>
        <w:tc>
          <w:tcPr>
            <w:tcW w:w="776" w:type="dxa"/>
            <w:vMerge w:val="continue"/>
            <w:tcBorders>
              <w:left w:val="single" w:color="auto" w:sz="4" w:space="0"/>
              <w:bottom w:val="single" w:color="000000" w:sz="4" w:space="0"/>
              <w:right w:val="single" w:color="auto" w:sz="4" w:space="0"/>
            </w:tcBorders>
            <w:noWrap w:val="0"/>
            <w:vAlign w:val="center"/>
          </w:tcPr>
          <w:p>
            <w:pPr>
              <w:jc w:val="center"/>
              <w:textAlignment w:val="center"/>
              <w:rPr>
                <w:rFonts w:hint="eastAsia" w:ascii="宋体" w:hAnsi="宋体" w:cs="宋体"/>
                <w:color w:val="auto"/>
                <w:kern w:val="0"/>
                <w:sz w:val="24"/>
                <w:lang w:bidi="ar"/>
              </w:rPr>
            </w:pPr>
          </w:p>
        </w:tc>
        <w:tc>
          <w:tcPr>
            <w:tcW w:w="992" w:type="dxa"/>
            <w:vMerge w:val="continue"/>
            <w:tcBorders>
              <w:left w:val="single" w:color="auto" w:sz="4" w:space="0"/>
              <w:bottom w:val="single" w:color="000000" w:sz="4" w:space="0"/>
              <w:right w:val="single" w:color="000000" w:sz="4" w:space="0"/>
            </w:tcBorders>
            <w:noWrap w:val="0"/>
            <w:vAlign w:val="center"/>
          </w:tcPr>
          <w:p>
            <w:pPr>
              <w:jc w:val="center"/>
              <w:rPr>
                <w:rFonts w:hint="eastAsia" w:ascii="宋体" w:hAnsi="宋体" w:cs="宋体"/>
                <w:color w:val="auto"/>
                <w:sz w:val="24"/>
              </w:rPr>
            </w:pPr>
          </w:p>
        </w:tc>
      </w:tr>
      <w:tr>
        <w:tblPrEx>
          <w:tblCellMar>
            <w:top w:w="15" w:type="dxa"/>
            <w:left w:w="15" w:type="dxa"/>
            <w:bottom w:w="15" w:type="dxa"/>
            <w:right w:w="15" w:type="dxa"/>
          </w:tblCellMar>
        </w:tblPrEx>
        <w:trPr>
          <w:trHeight w:val="790" w:hRule="atLeast"/>
        </w:trPr>
        <w:tc>
          <w:tcPr>
            <w:tcW w:w="3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rPr>
            </w:pPr>
            <w:r>
              <w:rPr>
                <w:rFonts w:hint="eastAsia" w:ascii="宋体" w:hAnsi="宋体" w:cs="宋体"/>
                <w:color w:val="auto"/>
                <w:sz w:val="24"/>
              </w:rPr>
              <w:t>5</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总计</w:t>
            </w:r>
          </w:p>
        </w:tc>
        <w:tc>
          <w:tcPr>
            <w:tcW w:w="6804" w:type="dxa"/>
            <w:gridSpan w:val="9"/>
            <w:tcBorders>
              <w:top w:val="single" w:color="000000" w:sz="4" w:space="0"/>
              <w:left w:val="single" w:color="000000" w:sz="4" w:space="0"/>
              <w:bottom w:val="single" w:color="000000" w:sz="4" w:space="0"/>
              <w:right w:val="single" w:color="auto" w:sz="4" w:space="0"/>
            </w:tcBorders>
            <w:noWrap w:val="0"/>
            <w:vAlign w:val="center"/>
          </w:tcPr>
          <w:p>
            <w:pPr>
              <w:jc w:val="center"/>
              <w:textAlignment w:val="center"/>
              <w:rPr>
                <w:rFonts w:hint="eastAsia" w:ascii="宋体" w:hAnsi="宋体" w:cs="宋体"/>
                <w:color w:val="auto"/>
                <w:sz w:val="24"/>
              </w:rPr>
            </w:pPr>
            <w:r>
              <w:rPr>
                <w:rFonts w:hint="eastAsia" w:ascii="宋体" w:hAnsi="宋体"/>
                <w:color w:val="auto"/>
                <w:kern w:val="0"/>
                <w:sz w:val="24"/>
              </w:rPr>
              <w:t xml:space="preserve"> 共</w:t>
            </w:r>
            <w:r>
              <w:rPr>
                <w:rFonts w:hint="eastAsia" w:ascii="宋体" w:hAnsi="宋体"/>
                <w:color w:val="auto"/>
                <w:kern w:val="0"/>
                <w:sz w:val="24"/>
                <w:u w:val="single"/>
              </w:rPr>
              <w:t xml:space="preserve"> </w:t>
            </w:r>
            <w:r>
              <w:rPr>
                <w:rFonts w:hint="eastAsia" w:ascii="宋体" w:hAnsi="宋体"/>
                <w:color w:val="auto"/>
                <w:kern w:val="0"/>
                <w:sz w:val="24"/>
                <w:u w:val="single"/>
                <w:lang w:val="en-US" w:eastAsia="zh-CN"/>
              </w:rPr>
              <w:t>79</w:t>
            </w:r>
            <w:r>
              <w:rPr>
                <w:rFonts w:hint="eastAsia" w:ascii="宋体" w:hAnsi="宋体"/>
                <w:color w:val="auto"/>
                <w:kern w:val="0"/>
                <w:sz w:val="24"/>
                <w:u w:val="single"/>
              </w:rPr>
              <w:t xml:space="preserve"> </w:t>
            </w:r>
            <w:r>
              <w:rPr>
                <w:rFonts w:hint="eastAsia" w:ascii="宋体" w:hAnsi="宋体"/>
                <w:color w:val="auto"/>
                <w:kern w:val="0"/>
                <w:sz w:val="24"/>
              </w:rPr>
              <w:t>台，合同期维保金额合计：</w:t>
            </w:r>
            <w:r>
              <w:rPr>
                <w:rFonts w:hint="eastAsia" w:ascii="宋体" w:hAnsi="宋体"/>
                <w:color w:val="auto"/>
                <w:kern w:val="0"/>
                <w:sz w:val="24"/>
                <w:u w:val="single"/>
                <w:lang w:val="en-US" w:eastAsia="zh-CN"/>
              </w:rPr>
              <w:t xml:space="preserve">                 </w:t>
            </w:r>
            <w:r>
              <w:rPr>
                <w:rFonts w:hint="eastAsia" w:ascii="宋体" w:hAnsi="宋体"/>
                <w:color w:val="auto"/>
                <w:kern w:val="0"/>
                <w:sz w:val="24"/>
              </w:rPr>
              <w:t>（含税）</w:t>
            </w:r>
          </w:p>
        </w:tc>
        <w:tc>
          <w:tcPr>
            <w:tcW w:w="992" w:type="dxa"/>
            <w:tcBorders>
              <w:top w:val="single" w:color="000000" w:sz="4" w:space="0"/>
              <w:left w:val="single" w:color="auto" w:sz="4" w:space="0"/>
              <w:bottom w:val="single" w:color="000000" w:sz="4" w:space="0"/>
              <w:right w:val="single" w:color="000000" w:sz="4" w:space="0"/>
            </w:tcBorders>
            <w:noWrap w:val="0"/>
            <w:vAlign w:val="center"/>
          </w:tcPr>
          <w:p>
            <w:pPr>
              <w:jc w:val="center"/>
              <w:textAlignment w:val="center"/>
              <w:rPr>
                <w:rFonts w:hint="eastAsia" w:ascii="宋体" w:hAnsi="宋体" w:cs="宋体"/>
                <w:color w:val="auto"/>
                <w:sz w:val="24"/>
              </w:rPr>
            </w:pPr>
          </w:p>
        </w:tc>
      </w:tr>
    </w:tbl>
    <w:p>
      <w:pPr>
        <w:rPr>
          <w:rFonts w:ascii="宋体" w:hAnsi="宋体"/>
          <w:color w:val="auto"/>
          <w:sz w:val="24"/>
        </w:rPr>
      </w:pPr>
    </w:p>
    <w:p>
      <w:pPr>
        <w:keepNext w:val="0"/>
        <w:keepLines w:val="0"/>
        <w:pageBreakBefore w:val="0"/>
        <w:widowControl w:val="0"/>
        <w:kinsoku/>
        <w:wordWrap/>
        <w:overflowPunct/>
        <w:topLinePunct w:val="0"/>
        <w:autoSpaceDE/>
        <w:autoSpaceDN/>
        <w:bidi w:val="0"/>
        <w:adjustRightInd/>
        <w:snapToGrid/>
        <w:spacing w:line="340" w:lineRule="atLeast"/>
        <w:ind w:firstLine="480" w:firstLineChars="200"/>
        <w:textAlignment w:val="auto"/>
        <w:rPr>
          <w:rFonts w:hint="eastAsia" w:ascii="宋体" w:hAnsi="Calibri" w:eastAsia="宋体" w:cs="Times New Roman"/>
          <w:color w:val="auto"/>
          <w:sz w:val="24"/>
        </w:rPr>
      </w:pPr>
    </w:p>
    <w:sectPr>
      <w:footerReference r:id="rId7"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p>
  <w:p>
    <w:pPr>
      <w:pStyle w:val="7"/>
      <w:tabs>
        <w:tab w:val="clear" w:pos="4153"/>
      </w:tabs>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4"/>
      </w:rPr>
    </w:pPr>
    <w:r>
      <w:fldChar w:fldCharType="begin"/>
    </w:r>
    <w:r>
      <w:rPr>
        <w:rStyle w:val="14"/>
      </w:rPr>
      <w:instrText xml:space="preserve">PAGE  </w:instrText>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337"/>
        <w:tab w:val="clear" w:pos="4153"/>
      </w:tabs>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tabs>
        <w:tab w:val="left" w:pos="2367"/>
        <w:tab w:val="clear" w:pos="4153"/>
      </w:tabs>
      <w:jc w:val="both"/>
      <w:rPr>
        <w:rFonts w:hint="eastAsia" w:eastAsiaTheme="minor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830C9A"/>
    <w:multiLevelType w:val="singleLevel"/>
    <w:tmpl w:val="98830C9A"/>
    <w:lvl w:ilvl="0" w:tentative="0">
      <w:start w:val="1"/>
      <w:numFmt w:val="decimal"/>
      <w:suff w:val="nothing"/>
      <w:lvlText w:val="（%1）"/>
      <w:lvlJc w:val="left"/>
    </w:lvl>
  </w:abstractNum>
  <w:abstractNum w:abstractNumId="1">
    <w:nsid w:val="D1537792"/>
    <w:multiLevelType w:val="singleLevel"/>
    <w:tmpl w:val="D1537792"/>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2MjkzMDNkNjZjNDBkYTA0ODQ5NGVlNzkwZWMyMjEifQ=="/>
  </w:docVars>
  <w:rsids>
    <w:rsidRoot w:val="0023528A"/>
    <w:rsid w:val="00010139"/>
    <w:rsid w:val="00010232"/>
    <w:rsid w:val="0002460B"/>
    <w:rsid w:val="00080F22"/>
    <w:rsid w:val="000B15B1"/>
    <w:rsid w:val="000C1513"/>
    <w:rsid w:val="000D13C6"/>
    <w:rsid w:val="001033BE"/>
    <w:rsid w:val="00164336"/>
    <w:rsid w:val="001A0003"/>
    <w:rsid w:val="001C0745"/>
    <w:rsid w:val="00217A58"/>
    <w:rsid w:val="0022696E"/>
    <w:rsid w:val="0023528A"/>
    <w:rsid w:val="00260446"/>
    <w:rsid w:val="00291210"/>
    <w:rsid w:val="002C0627"/>
    <w:rsid w:val="002D34A0"/>
    <w:rsid w:val="002D4ED7"/>
    <w:rsid w:val="002E4B02"/>
    <w:rsid w:val="00311749"/>
    <w:rsid w:val="00321FE8"/>
    <w:rsid w:val="00322902"/>
    <w:rsid w:val="00332D1B"/>
    <w:rsid w:val="003820B4"/>
    <w:rsid w:val="003A03B9"/>
    <w:rsid w:val="003A5A19"/>
    <w:rsid w:val="00410FE8"/>
    <w:rsid w:val="00426778"/>
    <w:rsid w:val="0048040E"/>
    <w:rsid w:val="004B48F6"/>
    <w:rsid w:val="004C3FA1"/>
    <w:rsid w:val="004D3F7B"/>
    <w:rsid w:val="004F6B4C"/>
    <w:rsid w:val="005008AD"/>
    <w:rsid w:val="00524504"/>
    <w:rsid w:val="00524DC7"/>
    <w:rsid w:val="00560B8A"/>
    <w:rsid w:val="005846DE"/>
    <w:rsid w:val="005A0400"/>
    <w:rsid w:val="005B3981"/>
    <w:rsid w:val="005C57CC"/>
    <w:rsid w:val="00605256"/>
    <w:rsid w:val="00657019"/>
    <w:rsid w:val="00692B85"/>
    <w:rsid w:val="006A6B45"/>
    <w:rsid w:val="006D5D6F"/>
    <w:rsid w:val="00702A03"/>
    <w:rsid w:val="0070612F"/>
    <w:rsid w:val="00740225"/>
    <w:rsid w:val="00774C13"/>
    <w:rsid w:val="00776517"/>
    <w:rsid w:val="0079683E"/>
    <w:rsid w:val="007972EA"/>
    <w:rsid w:val="007B0196"/>
    <w:rsid w:val="007C0031"/>
    <w:rsid w:val="007C42F8"/>
    <w:rsid w:val="007E74D2"/>
    <w:rsid w:val="007F1686"/>
    <w:rsid w:val="00837891"/>
    <w:rsid w:val="0087034C"/>
    <w:rsid w:val="008775EE"/>
    <w:rsid w:val="008972C4"/>
    <w:rsid w:val="008A2878"/>
    <w:rsid w:val="008A7928"/>
    <w:rsid w:val="008C1641"/>
    <w:rsid w:val="008E4A77"/>
    <w:rsid w:val="00937FA2"/>
    <w:rsid w:val="00972401"/>
    <w:rsid w:val="00980394"/>
    <w:rsid w:val="0098520E"/>
    <w:rsid w:val="009B3F38"/>
    <w:rsid w:val="009C3EAB"/>
    <w:rsid w:val="009F3F66"/>
    <w:rsid w:val="00A00CCF"/>
    <w:rsid w:val="00A22376"/>
    <w:rsid w:val="00A26274"/>
    <w:rsid w:val="00A31073"/>
    <w:rsid w:val="00A3502D"/>
    <w:rsid w:val="00A750ED"/>
    <w:rsid w:val="00A8031E"/>
    <w:rsid w:val="00A85B21"/>
    <w:rsid w:val="00AC041E"/>
    <w:rsid w:val="00AC6976"/>
    <w:rsid w:val="00AD1CD2"/>
    <w:rsid w:val="00AD45D8"/>
    <w:rsid w:val="00AE0D54"/>
    <w:rsid w:val="00AE6E93"/>
    <w:rsid w:val="00AF2DA9"/>
    <w:rsid w:val="00B04106"/>
    <w:rsid w:val="00B1486B"/>
    <w:rsid w:val="00B21B4E"/>
    <w:rsid w:val="00B24259"/>
    <w:rsid w:val="00B42630"/>
    <w:rsid w:val="00B61DD1"/>
    <w:rsid w:val="00B90568"/>
    <w:rsid w:val="00BA42E4"/>
    <w:rsid w:val="00BA585F"/>
    <w:rsid w:val="00BB5DBF"/>
    <w:rsid w:val="00BB7216"/>
    <w:rsid w:val="00BE1A4B"/>
    <w:rsid w:val="00BF31D4"/>
    <w:rsid w:val="00BF61B4"/>
    <w:rsid w:val="00C05ED0"/>
    <w:rsid w:val="00C12948"/>
    <w:rsid w:val="00C173DA"/>
    <w:rsid w:val="00C218EF"/>
    <w:rsid w:val="00C253C3"/>
    <w:rsid w:val="00C27A56"/>
    <w:rsid w:val="00C346E9"/>
    <w:rsid w:val="00C6215A"/>
    <w:rsid w:val="00C80DC6"/>
    <w:rsid w:val="00C962FF"/>
    <w:rsid w:val="00CC03F6"/>
    <w:rsid w:val="00CC2280"/>
    <w:rsid w:val="00CF0F5B"/>
    <w:rsid w:val="00CF7592"/>
    <w:rsid w:val="00D31981"/>
    <w:rsid w:val="00D63C95"/>
    <w:rsid w:val="00D645E3"/>
    <w:rsid w:val="00D90C67"/>
    <w:rsid w:val="00D96465"/>
    <w:rsid w:val="00DA2546"/>
    <w:rsid w:val="00E03143"/>
    <w:rsid w:val="00E03871"/>
    <w:rsid w:val="00E34258"/>
    <w:rsid w:val="00E57A17"/>
    <w:rsid w:val="00E77541"/>
    <w:rsid w:val="00ED3D2E"/>
    <w:rsid w:val="00ED6642"/>
    <w:rsid w:val="00F02D38"/>
    <w:rsid w:val="00F258CA"/>
    <w:rsid w:val="00F32E41"/>
    <w:rsid w:val="00F87A02"/>
    <w:rsid w:val="00F92599"/>
    <w:rsid w:val="00FB0668"/>
    <w:rsid w:val="00FB0E51"/>
    <w:rsid w:val="00FD0DBA"/>
    <w:rsid w:val="00FD5738"/>
    <w:rsid w:val="00FE7C59"/>
    <w:rsid w:val="00FF5113"/>
    <w:rsid w:val="00FF7D58"/>
    <w:rsid w:val="01573C51"/>
    <w:rsid w:val="015F47A3"/>
    <w:rsid w:val="01983D30"/>
    <w:rsid w:val="026517EB"/>
    <w:rsid w:val="02C76577"/>
    <w:rsid w:val="033049C7"/>
    <w:rsid w:val="040F5693"/>
    <w:rsid w:val="048277B4"/>
    <w:rsid w:val="048B68BE"/>
    <w:rsid w:val="04ED380D"/>
    <w:rsid w:val="05210A85"/>
    <w:rsid w:val="05D20B0D"/>
    <w:rsid w:val="066E1DCB"/>
    <w:rsid w:val="06792C25"/>
    <w:rsid w:val="0754600F"/>
    <w:rsid w:val="077F1451"/>
    <w:rsid w:val="07AC4681"/>
    <w:rsid w:val="07EB10F5"/>
    <w:rsid w:val="083E084B"/>
    <w:rsid w:val="085728AF"/>
    <w:rsid w:val="08A71026"/>
    <w:rsid w:val="08CA7E5A"/>
    <w:rsid w:val="090511BD"/>
    <w:rsid w:val="09255119"/>
    <w:rsid w:val="09542145"/>
    <w:rsid w:val="09B446FC"/>
    <w:rsid w:val="09E2517C"/>
    <w:rsid w:val="0A305E02"/>
    <w:rsid w:val="0AA73876"/>
    <w:rsid w:val="0B395732"/>
    <w:rsid w:val="0B60187B"/>
    <w:rsid w:val="0C9B273C"/>
    <w:rsid w:val="0CAE5410"/>
    <w:rsid w:val="0D5368CE"/>
    <w:rsid w:val="0D855A62"/>
    <w:rsid w:val="0DAE5171"/>
    <w:rsid w:val="0E4A75B0"/>
    <w:rsid w:val="0E4B355A"/>
    <w:rsid w:val="0EE20AF5"/>
    <w:rsid w:val="0EE721D9"/>
    <w:rsid w:val="0F0715E2"/>
    <w:rsid w:val="0F875971"/>
    <w:rsid w:val="10615B33"/>
    <w:rsid w:val="10616D58"/>
    <w:rsid w:val="10857B8E"/>
    <w:rsid w:val="10DF5B0D"/>
    <w:rsid w:val="10E72630"/>
    <w:rsid w:val="11853D3E"/>
    <w:rsid w:val="1281092F"/>
    <w:rsid w:val="12B21863"/>
    <w:rsid w:val="133138F3"/>
    <w:rsid w:val="137F4296"/>
    <w:rsid w:val="13A05904"/>
    <w:rsid w:val="13A231DB"/>
    <w:rsid w:val="150B0B6D"/>
    <w:rsid w:val="15CD72AC"/>
    <w:rsid w:val="17350D9E"/>
    <w:rsid w:val="17646C9E"/>
    <w:rsid w:val="17ED18D3"/>
    <w:rsid w:val="18641DA2"/>
    <w:rsid w:val="1A2D7F24"/>
    <w:rsid w:val="1BD85EAD"/>
    <w:rsid w:val="1C355BA8"/>
    <w:rsid w:val="1C420FD5"/>
    <w:rsid w:val="1CDB2579"/>
    <w:rsid w:val="1D7B3892"/>
    <w:rsid w:val="1DA11B7B"/>
    <w:rsid w:val="1E8B0551"/>
    <w:rsid w:val="1F1A04DE"/>
    <w:rsid w:val="20C22049"/>
    <w:rsid w:val="20D56BBB"/>
    <w:rsid w:val="20E312DF"/>
    <w:rsid w:val="20E726B1"/>
    <w:rsid w:val="213328FA"/>
    <w:rsid w:val="21916CD3"/>
    <w:rsid w:val="21CC42A7"/>
    <w:rsid w:val="21F65FB2"/>
    <w:rsid w:val="22256FC9"/>
    <w:rsid w:val="224639F2"/>
    <w:rsid w:val="22837B15"/>
    <w:rsid w:val="229F412E"/>
    <w:rsid w:val="23851690"/>
    <w:rsid w:val="23B95614"/>
    <w:rsid w:val="23C14D25"/>
    <w:rsid w:val="23D408C6"/>
    <w:rsid w:val="23DC6E7B"/>
    <w:rsid w:val="24E236FD"/>
    <w:rsid w:val="256854AE"/>
    <w:rsid w:val="25CE327D"/>
    <w:rsid w:val="26824487"/>
    <w:rsid w:val="26C869F6"/>
    <w:rsid w:val="271E02F5"/>
    <w:rsid w:val="28266AC6"/>
    <w:rsid w:val="28687E70"/>
    <w:rsid w:val="2890022F"/>
    <w:rsid w:val="28B0474F"/>
    <w:rsid w:val="28C845E7"/>
    <w:rsid w:val="28EC52C5"/>
    <w:rsid w:val="2A173104"/>
    <w:rsid w:val="2A5D1834"/>
    <w:rsid w:val="2A705FFA"/>
    <w:rsid w:val="2B1D3BDB"/>
    <w:rsid w:val="2B3C2B7F"/>
    <w:rsid w:val="2B41674B"/>
    <w:rsid w:val="2B5F657F"/>
    <w:rsid w:val="2C250C65"/>
    <w:rsid w:val="2C59454C"/>
    <w:rsid w:val="2C721392"/>
    <w:rsid w:val="2C8257EC"/>
    <w:rsid w:val="2CD55510"/>
    <w:rsid w:val="2D7C3427"/>
    <w:rsid w:val="2E435DD6"/>
    <w:rsid w:val="2EF1598B"/>
    <w:rsid w:val="2FC00212"/>
    <w:rsid w:val="30BB1E83"/>
    <w:rsid w:val="30E4079A"/>
    <w:rsid w:val="31090780"/>
    <w:rsid w:val="311D6219"/>
    <w:rsid w:val="31216E03"/>
    <w:rsid w:val="31A579E7"/>
    <w:rsid w:val="32537C5D"/>
    <w:rsid w:val="3291634E"/>
    <w:rsid w:val="33100242"/>
    <w:rsid w:val="33D0463E"/>
    <w:rsid w:val="35C80E21"/>
    <w:rsid w:val="36273670"/>
    <w:rsid w:val="36E07893"/>
    <w:rsid w:val="371D3D37"/>
    <w:rsid w:val="372C24FB"/>
    <w:rsid w:val="37466809"/>
    <w:rsid w:val="384A5F26"/>
    <w:rsid w:val="388A2D94"/>
    <w:rsid w:val="38CE2BD5"/>
    <w:rsid w:val="38E5481F"/>
    <w:rsid w:val="3A520610"/>
    <w:rsid w:val="3B793B5F"/>
    <w:rsid w:val="3CDC18B6"/>
    <w:rsid w:val="3D720190"/>
    <w:rsid w:val="3D807BF4"/>
    <w:rsid w:val="3E057757"/>
    <w:rsid w:val="3EB66CCD"/>
    <w:rsid w:val="3ED52753"/>
    <w:rsid w:val="3F826E18"/>
    <w:rsid w:val="402134F0"/>
    <w:rsid w:val="402D47C9"/>
    <w:rsid w:val="4078242F"/>
    <w:rsid w:val="42026F12"/>
    <w:rsid w:val="42B972FC"/>
    <w:rsid w:val="434F03DE"/>
    <w:rsid w:val="43BA646A"/>
    <w:rsid w:val="46F71824"/>
    <w:rsid w:val="47415DF9"/>
    <w:rsid w:val="47C21376"/>
    <w:rsid w:val="47C5083B"/>
    <w:rsid w:val="484256D6"/>
    <w:rsid w:val="48885DB2"/>
    <w:rsid w:val="490B1A4E"/>
    <w:rsid w:val="494B3E8B"/>
    <w:rsid w:val="49916924"/>
    <w:rsid w:val="4A7F5B2A"/>
    <w:rsid w:val="4AB93531"/>
    <w:rsid w:val="4ACC6915"/>
    <w:rsid w:val="4B1C6ECB"/>
    <w:rsid w:val="4BCA62F1"/>
    <w:rsid w:val="4C3D6D8F"/>
    <w:rsid w:val="4D7A44C1"/>
    <w:rsid w:val="4E5A7C30"/>
    <w:rsid w:val="4E9C24FE"/>
    <w:rsid w:val="4EC024EA"/>
    <w:rsid w:val="4ED225C5"/>
    <w:rsid w:val="4FBE0D27"/>
    <w:rsid w:val="4FD2359B"/>
    <w:rsid w:val="50674285"/>
    <w:rsid w:val="50825A60"/>
    <w:rsid w:val="50A4750D"/>
    <w:rsid w:val="50FB34D2"/>
    <w:rsid w:val="510D42B5"/>
    <w:rsid w:val="51592A60"/>
    <w:rsid w:val="515D298E"/>
    <w:rsid w:val="5232486E"/>
    <w:rsid w:val="5254404C"/>
    <w:rsid w:val="525F181A"/>
    <w:rsid w:val="538B0360"/>
    <w:rsid w:val="54071DDA"/>
    <w:rsid w:val="55396617"/>
    <w:rsid w:val="55F459D8"/>
    <w:rsid w:val="566B5540"/>
    <w:rsid w:val="56771FE4"/>
    <w:rsid w:val="56D95B7F"/>
    <w:rsid w:val="574716A2"/>
    <w:rsid w:val="576A2D9C"/>
    <w:rsid w:val="58071B12"/>
    <w:rsid w:val="58B513C4"/>
    <w:rsid w:val="59E85D72"/>
    <w:rsid w:val="59E95EDE"/>
    <w:rsid w:val="5A1E693A"/>
    <w:rsid w:val="5A646F12"/>
    <w:rsid w:val="5B6E76DB"/>
    <w:rsid w:val="5B81355C"/>
    <w:rsid w:val="5B877133"/>
    <w:rsid w:val="5C145564"/>
    <w:rsid w:val="5C3D6970"/>
    <w:rsid w:val="5D017965"/>
    <w:rsid w:val="5D207B64"/>
    <w:rsid w:val="5D6B4E4A"/>
    <w:rsid w:val="5E64494E"/>
    <w:rsid w:val="5E8C7702"/>
    <w:rsid w:val="5F092A24"/>
    <w:rsid w:val="5F627ECE"/>
    <w:rsid w:val="5F9A2153"/>
    <w:rsid w:val="60283AFC"/>
    <w:rsid w:val="60F74DA0"/>
    <w:rsid w:val="6115285B"/>
    <w:rsid w:val="61245746"/>
    <w:rsid w:val="618A6593"/>
    <w:rsid w:val="61A760C3"/>
    <w:rsid w:val="61DE26C0"/>
    <w:rsid w:val="61E91312"/>
    <w:rsid w:val="621D551A"/>
    <w:rsid w:val="624E6ED0"/>
    <w:rsid w:val="627464D9"/>
    <w:rsid w:val="62EF6B8B"/>
    <w:rsid w:val="633F33D0"/>
    <w:rsid w:val="634342A2"/>
    <w:rsid w:val="63627A9D"/>
    <w:rsid w:val="638F06B9"/>
    <w:rsid w:val="63A937FE"/>
    <w:rsid w:val="6450281F"/>
    <w:rsid w:val="64B11913"/>
    <w:rsid w:val="64EE72F7"/>
    <w:rsid w:val="654E3081"/>
    <w:rsid w:val="655B2C3F"/>
    <w:rsid w:val="65C95A00"/>
    <w:rsid w:val="660E3C9E"/>
    <w:rsid w:val="675D1087"/>
    <w:rsid w:val="68205F11"/>
    <w:rsid w:val="6826671D"/>
    <w:rsid w:val="689B2842"/>
    <w:rsid w:val="692929C9"/>
    <w:rsid w:val="6B3F31FC"/>
    <w:rsid w:val="6C2F4CB4"/>
    <w:rsid w:val="6D2A440F"/>
    <w:rsid w:val="6D7E0B5E"/>
    <w:rsid w:val="6D975C3C"/>
    <w:rsid w:val="6DD62923"/>
    <w:rsid w:val="6DF42310"/>
    <w:rsid w:val="6E7F693B"/>
    <w:rsid w:val="6EF53865"/>
    <w:rsid w:val="70315ABC"/>
    <w:rsid w:val="70BA00FF"/>
    <w:rsid w:val="70C527E2"/>
    <w:rsid w:val="70D73B74"/>
    <w:rsid w:val="71241F4D"/>
    <w:rsid w:val="71532D8C"/>
    <w:rsid w:val="71CB182F"/>
    <w:rsid w:val="722271E0"/>
    <w:rsid w:val="7244308D"/>
    <w:rsid w:val="72617084"/>
    <w:rsid w:val="72790C00"/>
    <w:rsid w:val="7296210F"/>
    <w:rsid w:val="72A804A6"/>
    <w:rsid w:val="72B24465"/>
    <w:rsid w:val="72FC6F6A"/>
    <w:rsid w:val="73123AD6"/>
    <w:rsid w:val="73832D6F"/>
    <w:rsid w:val="73984857"/>
    <w:rsid w:val="740C46F5"/>
    <w:rsid w:val="7512724A"/>
    <w:rsid w:val="751653F3"/>
    <w:rsid w:val="75175073"/>
    <w:rsid w:val="754B0FDA"/>
    <w:rsid w:val="75682860"/>
    <w:rsid w:val="757565AD"/>
    <w:rsid w:val="75BB4180"/>
    <w:rsid w:val="76825BAC"/>
    <w:rsid w:val="7690109D"/>
    <w:rsid w:val="76A74C81"/>
    <w:rsid w:val="77DA2E34"/>
    <w:rsid w:val="78293534"/>
    <w:rsid w:val="78F93092"/>
    <w:rsid w:val="79E71D92"/>
    <w:rsid w:val="79E815A7"/>
    <w:rsid w:val="7A01412C"/>
    <w:rsid w:val="7AB75716"/>
    <w:rsid w:val="7ADF3975"/>
    <w:rsid w:val="7B222A99"/>
    <w:rsid w:val="7BCB60E0"/>
    <w:rsid w:val="7BDE5535"/>
    <w:rsid w:val="7BF769C3"/>
    <w:rsid w:val="7C63220F"/>
    <w:rsid w:val="7CCB2702"/>
    <w:rsid w:val="7D5012C4"/>
    <w:rsid w:val="7F722680"/>
    <w:rsid w:val="7FF864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5"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tLeast"/>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semiHidden/>
    <w:unhideWhenUsed/>
    <w:qFormat/>
    <w:uiPriority w:val="99"/>
    <w:pPr>
      <w:jc w:val="left"/>
    </w:pPr>
  </w:style>
  <w:style w:type="paragraph" w:styleId="6">
    <w:name w:val="Balloon Text"/>
    <w:basedOn w:val="1"/>
    <w:link w:val="29"/>
    <w:semiHidden/>
    <w:unhideWhenUsed/>
    <w:qFormat/>
    <w:uiPriority w:val="99"/>
    <w:rPr>
      <w:sz w:val="18"/>
      <w:szCs w:val="18"/>
    </w:rPr>
  </w:style>
  <w:style w:type="paragraph" w:styleId="7">
    <w:name w:val="footer"/>
    <w:basedOn w:val="1"/>
    <w:link w:val="27"/>
    <w:unhideWhenUsed/>
    <w:qFormat/>
    <w:uiPriority w:val="99"/>
    <w:pPr>
      <w:tabs>
        <w:tab w:val="center" w:pos="4153"/>
        <w:tab w:val="right" w:pos="8306"/>
      </w:tabs>
      <w:snapToGrid w:val="0"/>
      <w:jc w:val="left"/>
    </w:pPr>
    <w:rPr>
      <w:sz w:val="18"/>
      <w:szCs w:val="18"/>
    </w:rPr>
  </w:style>
  <w:style w:type="paragraph" w:styleId="8">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style>
  <w:style w:type="character" w:styleId="14">
    <w:name w:val="page number"/>
    <w:basedOn w:val="12"/>
    <w:qFormat/>
    <w:uiPriority w:val="0"/>
  </w:style>
  <w:style w:type="character" w:styleId="15">
    <w:name w:val="FollowedHyperlink"/>
    <w:basedOn w:val="12"/>
    <w:semiHidden/>
    <w:unhideWhenUsed/>
    <w:qFormat/>
    <w:uiPriority w:val="99"/>
    <w:rPr>
      <w:color w:val="525252"/>
      <w:sz w:val="27"/>
      <w:szCs w:val="27"/>
      <w:u w:val="none"/>
    </w:rPr>
  </w:style>
  <w:style w:type="character" w:styleId="16">
    <w:name w:val="Emphasis"/>
    <w:basedOn w:val="12"/>
    <w:qFormat/>
    <w:uiPriority w:val="20"/>
  </w:style>
  <w:style w:type="character" w:styleId="17">
    <w:name w:val="HTML Definition"/>
    <w:basedOn w:val="12"/>
    <w:semiHidden/>
    <w:unhideWhenUsed/>
    <w:qFormat/>
    <w:uiPriority w:val="99"/>
  </w:style>
  <w:style w:type="character" w:styleId="18">
    <w:name w:val="HTML Typewriter"/>
    <w:basedOn w:val="12"/>
    <w:semiHidden/>
    <w:unhideWhenUsed/>
    <w:qFormat/>
    <w:uiPriority w:val="99"/>
    <w:rPr>
      <w:rFonts w:hint="default" w:ascii="monospace" w:hAnsi="monospace" w:eastAsia="monospace" w:cs="monospace"/>
      <w:sz w:val="20"/>
    </w:rPr>
  </w:style>
  <w:style w:type="character" w:styleId="19">
    <w:name w:val="HTML Acronym"/>
    <w:basedOn w:val="12"/>
    <w:semiHidden/>
    <w:unhideWhenUsed/>
    <w:qFormat/>
    <w:uiPriority w:val="99"/>
  </w:style>
  <w:style w:type="character" w:styleId="20">
    <w:name w:val="HTML Variable"/>
    <w:basedOn w:val="12"/>
    <w:semiHidden/>
    <w:unhideWhenUsed/>
    <w:qFormat/>
    <w:uiPriority w:val="99"/>
  </w:style>
  <w:style w:type="character" w:styleId="21">
    <w:name w:val="Hyperlink"/>
    <w:basedOn w:val="12"/>
    <w:semiHidden/>
    <w:unhideWhenUsed/>
    <w:qFormat/>
    <w:uiPriority w:val="99"/>
    <w:rPr>
      <w:color w:val="0000FF"/>
      <w:u w:val="single"/>
    </w:rPr>
  </w:style>
  <w:style w:type="character" w:styleId="22">
    <w:name w:val="HTML Code"/>
    <w:basedOn w:val="12"/>
    <w:semiHidden/>
    <w:unhideWhenUsed/>
    <w:qFormat/>
    <w:uiPriority w:val="99"/>
    <w:rPr>
      <w:rFonts w:hint="default" w:ascii="monospace" w:hAnsi="monospace" w:eastAsia="monospace" w:cs="monospace"/>
      <w:sz w:val="20"/>
    </w:rPr>
  </w:style>
  <w:style w:type="character" w:styleId="23">
    <w:name w:val="HTML Cite"/>
    <w:basedOn w:val="12"/>
    <w:semiHidden/>
    <w:unhideWhenUsed/>
    <w:qFormat/>
    <w:uiPriority w:val="99"/>
  </w:style>
  <w:style w:type="character" w:styleId="24">
    <w:name w:val="HTML Keyboard"/>
    <w:basedOn w:val="12"/>
    <w:semiHidden/>
    <w:unhideWhenUsed/>
    <w:qFormat/>
    <w:uiPriority w:val="99"/>
    <w:rPr>
      <w:rFonts w:ascii="monospace" w:hAnsi="monospace" w:eastAsia="monospace" w:cs="monospace"/>
      <w:sz w:val="20"/>
    </w:rPr>
  </w:style>
  <w:style w:type="character" w:styleId="25">
    <w:name w:val="HTML Sample"/>
    <w:basedOn w:val="12"/>
    <w:semiHidden/>
    <w:unhideWhenUsed/>
    <w:qFormat/>
    <w:uiPriority w:val="99"/>
    <w:rPr>
      <w:rFonts w:hint="default" w:ascii="monospace" w:hAnsi="monospace" w:eastAsia="monospace" w:cs="monospace"/>
    </w:rPr>
  </w:style>
  <w:style w:type="character" w:customStyle="1" w:styleId="26">
    <w:name w:val="页眉 Char"/>
    <w:basedOn w:val="12"/>
    <w:link w:val="8"/>
    <w:qFormat/>
    <w:uiPriority w:val="99"/>
    <w:rPr>
      <w:sz w:val="18"/>
      <w:szCs w:val="18"/>
    </w:rPr>
  </w:style>
  <w:style w:type="character" w:customStyle="1" w:styleId="27">
    <w:name w:val="页脚 Char"/>
    <w:basedOn w:val="12"/>
    <w:link w:val="7"/>
    <w:qFormat/>
    <w:uiPriority w:val="99"/>
    <w:rPr>
      <w:sz w:val="18"/>
      <w:szCs w:val="18"/>
    </w:rPr>
  </w:style>
  <w:style w:type="character" w:customStyle="1" w:styleId="28">
    <w:name w:val="font31"/>
    <w:basedOn w:val="12"/>
    <w:qFormat/>
    <w:uiPriority w:val="0"/>
    <w:rPr>
      <w:rFonts w:hint="eastAsia" w:ascii="宋体" w:hAnsi="宋体" w:eastAsia="宋体" w:cs="宋体"/>
      <w:color w:val="000000"/>
      <w:sz w:val="32"/>
      <w:szCs w:val="32"/>
      <w:u w:val="none"/>
    </w:rPr>
  </w:style>
  <w:style w:type="character" w:customStyle="1" w:styleId="29">
    <w:name w:val="批注框文本 Char"/>
    <w:basedOn w:val="12"/>
    <w:link w:val="6"/>
    <w:semiHidden/>
    <w:qFormat/>
    <w:uiPriority w:val="99"/>
    <w:rPr>
      <w:kern w:val="2"/>
      <w:sz w:val="18"/>
      <w:szCs w:val="18"/>
    </w:rPr>
  </w:style>
  <w:style w:type="paragraph" w:customStyle="1" w:styleId="30">
    <w:name w:val="正文_1_0"/>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31">
    <w:name w:val="正文缩进_0"/>
    <w:basedOn w:val="30"/>
    <w:qFormat/>
    <w:uiPriority w:val="0"/>
    <w:pPr>
      <w:ind w:firstLine="420"/>
    </w:pPr>
    <w:rPr>
      <w:rFonts w:ascii="Calibri" w:hAnsi="Calibri"/>
      <w:kern w:val="2"/>
      <w:sz w:val="21"/>
    </w:rPr>
  </w:style>
  <w:style w:type="paragraph" w:customStyle="1" w:styleId="32">
    <w:name w:val="Normal_3"/>
    <w:qFormat/>
    <w:uiPriority w:val="0"/>
    <w:rPr>
      <w:rFonts w:ascii="黑体" w:hAnsi="黑体" w:eastAsia="黑体" w:cs="Times New Roman"/>
      <w:b/>
      <w:sz w:val="32"/>
      <w:szCs w:val="24"/>
      <w:lang w:val="en-US" w:eastAsia="zh-CN" w:bidi="ar-SA"/>
    </w:rPr>
  </w:style>
  <w:style w:type="paragraph" w:styleId="33">
    <w:name w:val="List Paragraph"/>
    <w:basedOn w:val="1"/>
    <w:qFormat/>
    <w:uiPriority w:val="1"/>
    <w:pPr>
      <w:spacing w:before="152"/>
      <w:ind w:left="649" w:hanging="530"/>
    </w:pPr>
    <w:rPr>
      <w:rFonts w:ascii="等线" w:hAnsi="等线" w:eastAsia="等线" w:cs="等线"/>
      <w:lang w:val="zh-CN" w:bidi="zh-CN"/>
    </w:rPr>
  </w:style>
  <w:style w:type="paragraph" w:customStyle="1" w:styleId="34">
    <w:name w:val="正文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正文缩进_0_0"/>
    <w:basedOn w:val="35"/>
    <w:qFormat/>
    <w:uiPriority w:val="0"/>
    <w:pPr>
      <w:widowControl/>
      <w:ind w:firstLine="420"/>
      <w:jc w:val="left"/>
    </w:pPr>
    <w:rPr>
      <w:rFonts w:ascii="Times New Roman" w:hAnsi="Times New Roman"/>
      <w:sz w:val="20"/>
      <w:szCs w:val="24"/>
    </w:rPr>
  </w:style>
  <w:style w:type="paragraph" w:customStyle="1" w:styleId="37">
    <w:name w:val="Normal_5"/>
    <w:qFormat/>
    <w:uiPriority w:val="0"/>
    <w:rPr>
      <w:rFonts w:ascii="黑体" w:hAnsi="黑体" w:eastAsia="黑体" w:cs="Times New Roman"/>
      <w:b/>
      <w:sz w:val="32"/>
      <w:szCs w:val="24"/>
      <w:lang w:val="en-US" w:eastAsia="zh-CN" w:bidi="ar-SA"/>
    </w:rPr>
  </w:style>
  <w:style w:type="paragraph" w:customStyle="1" w:styleId="38">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正文缩进_2"/>
    <w:basedOn w:val="38"/>
    <w:qFormat/>
    <w:uiPriority w:val="0"/>
    <w:pPr>
      <w:widowControl/>
      <w:ind w:firstLine="420"/>
      <w:jc w:val="left"/>
    </w:pPr>
    <w:rPr>
      <w:rFonts w:ascii="Times New Roman" w:hAnsi="Times New Roman"/>
      <w:sz w:val="20"/>
      <w:szCs w:val="24"/>
    </w:rPr>
  </w:style>
  <w:style w:type="character" w:customStyle="1" w:styleId="40">
    <w:name w:val="hover5"/>
    <w:basedOn w:val="12"/>
    <w:qFormat/>
    <w:uiPriority w:val="0"/>
  </w:style>
  <w:style w:type="character" w:customStyle="1" w:styleId="41">
    <w:name w:val="hour_pm"/>
    <w:basedOn w:val="12"/>
    <w:qFormat/>
    <w:uiPriority w:val="0"/>
  </w:style>
  <w:style w:type="character" w:customStyle="1" w:styleId="42">
    <w:name w:val="hover"/>
    <w:basedOn w:val="12"/>
    <w:qFormat/>
    <w:uiPriority w:val="0"/>
    <w:rPr>
      <w:shd w:val="clear" w:fill="EEEEEE"/>
    </w:rPr>
  </w:style>
  <w:style w:type="character" w:customStyle="1" w:styleId="43">
    <w:name w:val="old"/>
    <w:basedOn w:val="12"/>
    <w:qFormat/>
    <w:uiPriority w:val="0"/>
    <w:rPr>
      <w:color w:val="999999"/>
    </w:rPr>
  </w:style>
  <w:style w:type="character" w:customStyle="1" w:styleId="44">
    <w:name w:val="glyphicon"/>
    <w:basedOn w:val="12"/>
    <w:qFormat/>
    <w:uiPriority w:val="0"/>
  </w:style>
  <w:style w:type="character" w:customStyle="1" w:styleId="45">
    <w:name w:val="hour_am"/>
    <w:basedOn w:val="12"/>
    <w:qFormat/>
    <w:uiPriority w:val="0"/>
  </w:style>
  <w:style w:type="paragraph" w:customStyle="1" w:styleId="46">
    <w:name w:val="正文文本_2"/>
    <w:basedOn w:val="47"/>
    <w:qFormat/>
    <w:uiPriority w:val="0"/>
    <w:rPr>
      <w:sz w:val="20"/>
      <w:szCs w:val="21"/>
    </w:rPr>
  </w:style>
  <w:style w:type="paragraph" w:customStyle="1" w:styleId="47">
    <w:name w:val="正文_2"/>
    <w:qFormat/>
    <w:uiPriority w:val="0"/>
    <w:pPr>
      <w:widowControl w:val="0"/>
      <w:autoSpaceDE w:val="0"/>
      <w:autoSpaceDN w:val="0"/>
    </w:pPr>
    <w:rPr>
      <w:rFonts w:ascii="宋体" w:hAnsi="Times New Roman" w:eastAsia="宋体" w:cs="宋体"/>
      <w:sz w:val="22"/>
      <w:szCs w:val="22"/>
      <w:lang w:val="zh-CN" w:eastAsia="zh-CN" w:bidi="zh-CN"/>
    </w:rPr>
  </w:style>
  <w:style w:type="paragraph" w:customStyle="1" w:styleId="48">
    <w:name w:val="Default_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9">
    <w:name w:val="附录标识"/>
    <w:basedOn w:val="1"/>
    <w:next w:val="1"/>
    <w:qFormat/>
    <w:uiPriority w:val="0"/>
    <w:pPr>
      <w:keepNext/>
      <w:widowControl/>
      <w:shd w:val="clear" w:color="auto" w:fill="FFFFFF"/>
      <w:tabs>
        <w:tab w:val="left" w:pos="6405"/>
      </w:tabs>
      <w:spacing w:before="640" w:after="280"/>
      <w:ind w:left="3402"/>
      <w:jc w:val="center"/>
      <w:outlineLvl w:val="0"/>
    </w:pPr>
    <w:rPr>
      <w:rFonts w:ascii="黑体" w:eastAsia="黑体"/>
      <w:kern w:val="0"/>
      <w:szCs w:val="20"/>
    </w:rPr>
  </w:style>
  <w:style w:type="paragraph" w:customStyle="1" w:styleId="5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17</Pages>
  <Words>8837</Words>
  <Characters>9116</Characters>
  <Lines>30</Lines>
  <Paragraphs>8</Paragraphs>
  <TotalTime>7</TotalTime>
  <ScaleCrop>false</ScaleCrop>
  <LinksUpToDate>false</LinksUpToDate>
  <CharactersWithSpaces>9844</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2021-12-28T02:05:00Z</dcterms:created>
  <dc:creator>Windows User</dc:creator>
  <cp:lastModifiedBy>smile</cp:lastModifiedBy>
  <cp:lastPrinted>2022-08-31T08:19:00Z</cp:lastPrinted>
  <dcterms:modified xsi:type="dcterms:W3CDTF">2022-09-01T02:14:01Z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EA773A3A5B874DD8A530277BCED93CE1</vt:lpwstr>
  </property>
</Properties>
</file>