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567"/>
        <w:jc w:val="both"/>
        <w:textAlignment w:val="auto"/>
        <w:rPr>
          <w:rFonts w:hint="eastAsia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采购清单一览表</w:t>
      </w:r>
    </w:p>
    <w:tbl>
      <w:tblPr>
        <w:tblStyle w:val="7"/>
        <w:tblW w:w="93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761"/>
        <w:gridCol w:w="3542"/>
        <w:gridCol w:w="1152"/>
        <w:gridCol w:w="1103"/>
        <w:gridCol w:w="1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tblHeader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数量（台）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不含税综合单价（元）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干式水 疗床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床体材质：304优质不锈钢；床垫材质：硅胶；带触摸屏，功能设置人性化，操作方便；水温、水疗时间、按摩部位等可设置；具有温热疗法、按摩治疗等主要特色功能；恒温系统。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智能行走机器人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帮助使用者从轮椅的坐姿状态变成站姿状态。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17522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移动助浴洗澡机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解决失能、半失能、行动不便人群洗澡、洗头问题。臭氧消毒、恒温加热、触摸显示器控制操作；升降推车底部配有万向轮，360°自由移动；配备一键启动按钮，自动到位停止功能；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75221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老人无障碍专用浴槽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可为老年人、残疾人、行动障碍者及半失能患者提供开门浴槽。可坐浴， 配合各种药疗，促进老人的身体疗养，促进药物吸收。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15929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小数字OT训练系统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改善上肢运动控制能力，手指精细运动能力，手眼协调能力及认知能力等。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9734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数字OT评估与训练系统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触控屏幕，有虚拟场景互动技术，可进行认知能力训练，提高运动控制能力、手眼协调能力。可在站姿或坐姿下训练、可提供评定量表，评估全程记录用户的响应，结束后生成图表、报告。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44247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上下肢电动康复训练器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上下肢的各种训练， 促进上下肢的力量训练，改善手脚无力， 肌肉萎缩，及中风偏瘫卒中等问题。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便携式电动康复器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可放于床上做躺式训练或可以放脚下做坐式训练、可训练上肢也可训练下肢。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867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折叠式手动轮椅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辅助老人，术后病人出行，辅助行走。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不锈钢助行拐杖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铝合金材质。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框式助行架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辅助老人步行，防止老人走路摔倒。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四肢联动康复机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1.用于锻炼四肢。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2.可360度且自由旋转，方便坐轮椅的患者上下；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3.带显示屏，可实时显示卡利路消耗、步速、心率等。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15752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电动手功能康复桌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适用多个患者同时训练,用于改善手部关节活动度、提升肌力与肌耐力，改善手部功能和手眼协调能力。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22831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减重步态训练器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用于骨关节、神经系统疾患引起下肢无力、疼痛、痉挛的患者，帮助他们及早进行步态功能训练。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（配医用慢速跑台）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34336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站立平衡训练平台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用于站立平衡训练、关节稳定性训练、体态姿势训练、本体感觉训练、肌肉控制训练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39823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康复手套训练器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帮助脑梗塞老人做康复训练，锻炼手功能、促进神经康复、肌肉再生。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885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移位机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协助病人，老人，失能或者半失能人群做位置转移，比如从床上转移到厕所、餐厅、轮椅前。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2764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坐便椅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便于老人，失能人，术后人上厕所时的起立。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电动轮椅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协助老人，半失能人群的出行。辅助行走。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5310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淋浴器</w:t>
            </w:r>
          </w:p>
        </w:tc>
        <w:tc>
          <w:tcPr>
            <w:tcW w:w="3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坐式淋浴器，协助行动不便老年人淋浴。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8672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1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不含税小计（元）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备注：以上单价及总价含人工费、材料费、机械费、管理费、利润等产品采购及安装、调试过程发生的一切费用。</w:t>
            </w:r>
          </w:p>
        </w:tc>
      </w:tr>
    </w:tbl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三明康养城项目C6地块CCRC康复设备采购及安装（二次比选）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三明康养城项目C6地块CCRC康复设备采购及安装（二次比选）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三明康养城项目C6地块CCRC康复设备采购及安装（二次比选）</w:t>
      </w:r>
      <w:r>
        <w:rPr>
          <w:rFonts w:hint="eastAsia"/>
          <w:color w:val="auto"/>
          <w:highlight w:val="none"/>
        </w:rPr>
        <w:t>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比选申请人自本比选项目发布比选公告之日的前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五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年内（含本比选项目发布比选公告之日）具备至少</w:t>
      </w:r>
      <w:r>
        <w:rPr>
          <w:rFonts w:hint="eastAsia" w:ascii="宋体"/>
          <w:b w:val="0"/>
          <w:bCs/>
          <w:color w:val="auto"/>
          <w:sz w:val="24"/>
          <w:szCs w:val="24"/>
          <w:highlight w:val="none"/>
          <w:lang w:val="en-US" w:eastAsia="zh-CN"/>
        </w:rPr>
        <w:t>两项类似业绩（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须提供类似业绩合同复印件，业绩时间以业绩合同签订之日为准；业绩证明材料须加盖单位公章</w:t>
      </w:r>
      <w:r>
        <w:rPr>
          <w:rFonts w:hint="eastAsia" w:ascii="宋体"/>
          <w:b w:val="0"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 w:val="0"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附件3：报价函格式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合同签订之日起10日内交货并完成安装、调试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tbl>
      <w:tblPr>
        <w:tblStyle w:val="7"/>
        <w:tblW w:w="93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137"/>
        <w:gridCol w:w="3731"/>
        <w:gridCol w:w="823"/>
        <w:gridCol w:w="1384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tblHeader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数量（台）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不含税综合单价（元）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干式水 疗床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床体材质：304优质不锈钢；床垫材质：硅胶；带触摸屏，功能设置人性化，操作方便；水温、水疗时间、按摩部位等可设置；具有温热疗法、按摩治疗等主要特色功能；恒温系统。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智能行走机器人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帮助使用者从轮椅的坐姿状态变成站姿状态。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移动助浴洗澡机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解决失能、半失能、行动不便人群洗澡、洗头问题。臭氧消毒、恒温加热、触摸显示器控制操作；升降推车底部配有万向轮，360°自由移动；配备一键启动按钮，自动到位停止功能；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老人无障碍专用浴槽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可为老年人、残疾人、行动障碍者及半失能患者提供开门浴槽。可坐浴， 配合各种药疗， 促进老人的身体疗养， 促进药物吸收。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小数字OT训练系统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改善上肢运动控制能力，手指精细运动能力，手眼协调能力及认知能力等。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数字OT评估与训练系统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触控屏幕，有虚拟场景互动技术，可进行认知能力训练，提高运动控制能力、手眼协调能力。可在站姿或坐姿下训练、可提供评定量表，评估全程记录用户的响应，结束后生成图表、报告。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上下肢电动康复训练器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上下肢的各种训练， 促进上下肢的力量训练，改善手脚无力， 肌肉萎缩，及中风偏瘫卒中等问题。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便携式电动康复器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可放于床上做躺式训练或可以放脚下做坐式训练、可训练上肢也可训练下肢。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折叠式手动轮椅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辅助老人，术后病人出行，辅助行走。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不锈钢助行拐杖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铝合金材质。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框式助行架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辅助老人步行，防止老人走路摔倒。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四肢联动康复机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1.用于锻炼四肢。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2.可360度且自由旋转，方便坐轮椅的患者上下；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3.带显示屏，可实时显示卡利路消耗、步速、心率等。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电动手功能康复桌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适用多个患者同时训练,用于改善手部关节活动度、提升肌力与肌耐力，改善手部功能和手眼协调能力。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减重步态训练器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用于骨关节、神经系统疾患引起下肢无力、疼痛、痉挛的患者，帮助他们及早进行步态功能训练。</w:t>
            </w: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（配医用慢速跑台）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站立平衡训练平台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用于站立平衡训练、关节稳定性训练、体态姿势训练、本体感觉训练、肌肉控制训练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康复手套训练器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帮助脑梗塞老人做康复训练，锻炼手功能、促进神经康复、肌肉再生。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移位机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协助病人，老人，失能或者半失能人群做位置转移，比如从床上转移到厕所、餐厅、轮椅前。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坐便椅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便于老人，失能人，术后人上厕所时的起立。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电动轮椅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协助老人，半失能人群的出行。辅助行走。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淋浴器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坐式淋浴器，协助行动不便老年人淋浴。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不含税小计（元）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备注：以上单价及总价含人工费、材料费、机械费、管理费、利润等产品采购及安装、调试过程发生的一切费用。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33321A6"/>
    <w:rsid w:val="059E129D"/>
    <w:rsid w:val="06960F94"/>
    <w:rsid w:val="07727BA5"/>
    <w:rsid w:val="083F66C3"/>
    <w:rsid w:val="0C1E4474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font41"/>
    <w:basedOn w:val="8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2023-09-25T09:29:39Z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