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AF5D0">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7"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4 </w:t>
      </w:r>
      <w:r>
        <w:rPr>
          <w:rFonts w:hint="eastAsia" w:ascii="黑体" w:hAnsi="黑体" w:eastAsia="黑体" w:cs="黑体"/>
          <w:color w:val="auto"/>
          <w:sz w:val="32"/>
          <w:szCs w:val="32"/>
          <w:highlight w:val="none"/>
          <w:shd w:val="clear" w:color="auto" w:fill="FFFFFF"/>
          <w:lang w:eastAsia="zh-CN"/>
        </w:rPr>
        <w:t>：评价办法</w:t>
      </w:r>
    </w:p>
    <w:bookmarkEnd w:id="7"/>
    <w:p w14:paraId="762CBC07">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14:paraId="2425EA04">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综合评价中选法</w:t>
      </w:r>
    </w:p>
    <w:p w14:paraId="710DCA48">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本比选项目采用</w:t>
      </w:r>
      <w:r>
        <w:rPr>
          <w:rFonts w:hint="eastAsia" w:cs="宋体"/>
          <w:b w:val="0"/>
          <w:bCs w:val="0"/>
          <w:color w:val="auto"/>
          <w:sz w:val="28"/>
          <w:szCs w:val="28"/>
          <w:highlight w:val="none"/>
          <w:lang w:eastAsia="zh-CN"/>
        </w:rPr>
        <w:t>综合评价</w:t>
      </w:r>
      <w:r>
        <w:rPr>
          <w:rFonts w:hint="eastAsia" w:ascii="宋体" w:hAnsi="宋体" w:eastAsia="宋体" w:cs="宋体"/>
          <w:b w:val="0"/>
          <w:bCs w:val="0"/>
          <w:color w:val="auto"/>
          <w:sz w:val="28"/>
          <w:szCs w:val="28"/>
          <w:highlight w:val="none"/>
        </w:rPr>
        <w:t>中选法</w:t>
      </w:r>
      <w:r>
        <w:rPr>
          <w:rFonts w:hint="eastAsia" w:ascii="宋体" w:hAnsi="宋体" w:eastAsia="宋体" w:cs="宋体"/>
          <w:b w:val="0"/>
          <w:bCs w:val="0"/>
          <w:color w:val="auto"/>
          <w:sz w:val="28"/>
          <w:szCs w:val="28"/>
          <w:highlight w:val="none"/>
          <w:lang w:eastAsia="zh-CN"/>
        </w:rPr>
        <w:t>。</w:t>
      </w:r>
    </w:p>
    <w:p w14:paraId="5CD38F8F">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若资格条件、报价符合要求的比选申请人仅有1家时，直接确定其为候选单位</w:t>
      </w:r>
      <w:r>
        <w:rPr>
          <w:rFonts w:hint="eastAsia" w:cs="宋体"/>
          <w:color w:val="auto"/>
          <w:sz w:val="28"/>
          <w:szCs w:val="28"/>
          <w:highlight w:val="none"/>
          <w:lang w:eastAsia="zh-CN"/>
        </w:rPr>
        <w:t>。若资格条件、报价符合要求的比选申请人数量超过1家时，</w:t>
      </w:r>
      <w:r>
        <w:rPr>
          <w:rFonts w:hint="eastAsia" w:ascii="宋体" w:hAnsi="宋体" w:eastAsia="宋体" w:cs="宋体"/>
          <w:color w:val="auto"/>
          <w:sz w:val="28"/>
          <w:szCs w:val="28"/>
          <w:highlight w:val="none"/>
          <w:lang w:eastAsia="zh-CN"/>
        </w:rPr>
        <w:t>将</w:t>
      </w:r>
      <w:r>
        <w:rPr>
          <w:rFonts w:hint="eastAsia" w:ascii="宋体" w:hAnsi="宋体" w:eastAsia="宋体" w:cs="宋体"/>
          <w:color w:val="auto"/>
          <w:sz w:val="28"/>
          <w:szCs w:val="28"/>
          <w:highlight w:val="none"/>
        </w:rPr>
        <w:t>符合要求的</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按照本</w:t>
      </w:r>
      <w:r>
        <w:rPr>
          <w:rFonts w:hint="eastAsia" w:cs="宋体"/>
          <w:color w:val="auto"/>
          <w:sz w:val="28"/>
          <w:szCs w:val="28"/>
          <w:highlight w:val="none"/>
          <w:lang w:eastAsia="zh-CN"/>
        </w:rPr>
        <w:t>评价</w:t>
      </w:r>
      <w:r>
        <w:rPr>
          <w:rFonts w:hint="eastAsia" w:ascii="宋体" w:hAnsi="宋体" w:eastAsia="宋体" w:cs="宋体"/>
          <w:color w:val="auto"/>
          <w:sz w:val="28"/>
          <w:szCs w:val="28"/>
          <w:highlight w:val="none"/>
        </w:rPr>
        <w:t>办法中规定的各项因素进行</w:t>
      </w:r>
      <w:r>
        <w:rPr>
          <w:rFonts w:hint="eastAsia" w:cs="宋体"/>
          <w:color w:val="auto"/>
          <w:sz w:val="28"/>
          <w:szCs w:val="28"/>
          <w:highlight w:val="none"/>
          <w:lang w:eastAsia="zh-CN"/>
        </w:rPr>
        <w:t>综合评价</w:t>
      </w:r>
      <w:r>
        <w:rPr>
          <w:rFonts w:hint="eastAsia" w:ascii="宋体" w:hAnsi="宋体" w:eastAsia="宋体" w:cs="宋体"/>
          <w:color w:val="auto"/>
          <w:sz w:val="28"/>
          <w:szCs w:val="28"/>
          <w:highlight w:val="none"/>
          <w:lang w:eastAsia="zh-CN"/>
        </w:rPr>
        <w:t>，并根据</w:t>
      </w:r>
      <w:r>
        <w:rPr>
          <w:rFonts w:hint="eastAsia" w:ascii="宋体" w:hAnsi="宋体" w:eastAsia="宋体" w:cs="宋体"/>
          <w:color w:val="auto"/>
          <w:sz w:val="28"/>
          <w:szCs w:val="28"/>
          <w:highlight w:val="none"/>
        </w:rPr>
        <w:t>比选</w:t>
      </w:r>
      <w:r>
        <w:rPr>
          <w:rFonts w:hint="eastAsia" w:ascii="宋体" w:hAnsi="宋体" w:eastAsia="宋体" w:cs="宋体"/>
          <w:color w:val="auto"/>
          <w:sz w:val="28"/>
          <w:szCs w:val="28"/>
          <w:highlight w:val="none"/>
          <w:lang w:eastAsia="zh-CN"/>
        </w:rPr>
        <w:t>申请人的综合得分由高到低排序，综合得分最高</w:t>
      </w:r>
      <w:r>
        <w:rPr>
          <w:rFonts w:hint="eastAsia" w:ascii="宋体" w:hAnsi="宋体" w:eastAsia="宋体" w:cs="宋体"/>
          <w:color w:val="auto"/>
          <w:sz w:val="28"/>
          <w:szCs w:val="28"/>
          <w:highlight w:val="none"/>
        </w:rPr>
        <w:t>的为第一中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候选人，以此类推选择第二、第三中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候选人。当出现二个或二个以上</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eastAsia="zh-CN"/>
        </w:rPr>
        <w:t>综合得分</w:t>
      </w:r>
      <w:r>
        <w:rPr>
          <w:rFonts w:hint="eastAsia" w:ascii="宋体" w:hAnsi="宋体" w:eastAsia="宋体" w:cs="宋体"/>
          <w:color w:val="auto"/>
          <w:sz w:val="28"/>
          <w:szCs w:val="28"/>
          <w:highlight w:val="none"/>
        </w:rPr>
        <w:t>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依次</w:t>
      </w:r>
      <w:r>
        <w:rPr>
          <w:rFonts w:hint="eastAsia" w:cs="宋体"/>
          <w:color w:val="auto"/>
          <w:sz w:val="28"/>
          <w:szCs w:val="28"/>
          <w:highlight w:val="none"/>
          <w:lang w:eastAsia="zh-CN"/>
        </w:rPr>
        <w:t>按照</w:t>
      </w:r>
      <w:r>
        <w:rPr>
          <w:rFonts w:hint="eastAsia" w:ascii="宋体" w:hAnsi="宋体" w:eastAsia="宋体" w:cs="宋体"/>
          <w:i w:val="0"/>
          <w:iCs w:val="0"/>
          <w:color w:val="auto"/>
          <w:sz w:val="28"/>
          <w:szCs w:val="28"/>
          <w:highlight w:val="none"/>
          <w:u w:val="single"/>
          <w:lang w:eastAsia="zh-CN"/>
        </w:rPr>
        <w:t>比选</w:t>
      </w:r>
      <w:r>
        <w:rPr>
          <w:rFonts w:hint="eastAsia" w:ascii="宋体" w:hAnsi="宋体" w:eastAsia="宋体" w:cs="宋体"/>
          <w:i w:val="0"/>
          <w:iCs w:val="0"/>
          <w:color w:val="auto"/>
          <w:sz w:val="28"/>
          <w:szCs w:val="28"/>
          <w:highlight w:val="none"/>
          <w:u w:val="single"/>
        </w:rPr>
        <w:t>报价由低到高、技术部分</w:t>
      </w:r>
      <w:r>
        <w:rPr>
          <w:rFonts w:hint="eastAsia" w:cs="宋体"/>
          <w:i w:val="0"/>
          <w:iCs w:val="0"/>
          <w:color w:val="auto"/>
          <w:sz w:val="28"/>
          <w:szCs w:val="28"/>
          <w:highlight w:val="none"/>
          <w:u w:val="single"/>
          <w:lang w:eastAsia="zh-CN"/>
        </w:rPr>
        <w:t>得分</w:t>
      </w:r>
      <w:r>
        <w:rPr>
          <w:rFonts w:hint="eastAsia" w:ascii="宋体" w:hAnsi="宋体" w:eastAsia="宋体" w:cs="宋体"/>
          <w:i w:val="0"/>
          <w:iCs w:val="0"/>
          <w:color w:val="auto"/>
          <w:sz w:val="28"/>
          <w:szCs w:val="28"/>
          <w:highlight w:val="none"/>
          <w:u w:val="single"/>
          <w:lang w:eastAsia="zh-CN"/>
        </w:rPr>
        <w:t>由高到低、商务部分得分由高到低</w:t>
      </w:r>
      <w:r>
        <w:rPr>
          <w:rFonts w:hint="eastAsia" w:ascii="宋体" w:hAnsi="宋体" w:eastAsia="宋体" w:cs="宋体"/>
          <w:i w:val="0"/>
          <w:iCs w:val="0"/>
          <w:color w:val="auto"/>
          <w:sz w:val="28"/>
          <w:szCs w:val="28"/>
          <w:highlight w:val="none"/>
        </w:rPr>
        <w:t>进</w:t>
      </w:r>
      <w:r>
        <w:rPr>
          <w:rFonts w:hint="eastAsia" w:ascii="宋体" w:hAnsi="宋体" w:eastAsia="宋体" w:cs="宋体"/>
          <w:color w:val="auto"/>
          <w:sz w:val="28"/>
          <w:szCs w:val="28"/>
          <w:highlight w:val="none"/>
        </w:rPr>
        <w:t>行排序，若上述</w:t>
      </w:r>
      <w:r>
        <w:rPr>
          <w:rFonts w:hint="eastAsia" w:ascii="宋体" w:hAnsi="宋体" w:cs="宋体"/>
          <w:color w:val="auto"/>
          <w:sz w:val="28"/>
          <w:szCs w:val="28"/>
          <w:highlight w:val="none"/>
          <w:lang w:eastAsia="zh-CN"/>
        </w:rPr>
        <w:t>三</w:t>
      </w:r>
      <w:r>
        <w:rPr>
          <w:rFonts w:hint="eastAsia" w:ascii="宋体" w:hAnsi="宋体" w:eastAsia="宋体" w:cs="宋体"/>
          <w:color w:val="auto"/>
          <w:sz w:val="28"/>
          <w:szCs w:val="28"/>
          <w:highlight w:val="none"/>
        </w:rPr>
        <w:t>项均相同时，由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随机抽取</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以比选申请人提交比选申请书的签到号作为代表号（代表号不再另行抽取）</w:t>
      </w:r>
      <w:r>
        <w:rPr>
          <w:rFonts w:hint="eastAsia" w:ascii="宋体" w:hAnsi="宋体" w:eastAsia="宋体" w:cs="宋体"/>
          <w:color w:val="auto"/>
          <w:sz w:val="28"/>
          <w:szCs w:val="28"/>
          <w:highlight w:val="none"/>
          <w:lang w:eastAsia="zh-CN"/>
        </w:rPr>
        <w:t>进行</w:t>
      </w:r>
      <w:r>
        <w:rPr>
          <w:rFonts w:hint="eastAsia" w:ascii="宋体" w:hAnsi="宋体" w:eastAsia="宋体" w:cs="宋体"/>
          <w:color w:val="auto"/>
          <w:sz w:val="28"/>
          <w:szCs w:val="28"/>
          <w:highlight w:val="none"/>
        </w:rPr>
        <w:t>随机抽取，先抽取出来的球号排序在前。</w:t>
      </w:r>
    </w:p>
    <w:p w14:paraId="5AE72AF7">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各项因素分值如下：</w:t>
      </w:r>
    </w:p>
    <w:p w14:paraId="25CADDF7">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1</w:t>
      </w:r>
      <w:r>
        <w:rPr>
          <w:rFonts w:hint="eastAsia" w:cs="宋体"/>
          <w:b/>
          <w:bCs/>
          <w:color w:val="auto"/>
          <w:sz w:val="28"/>
          <w:szCs w:val="28"/>
          <w:highlight w:val="none"/>
          <w:lang w:eastAsia="zh-CN"/>
        </w:rPr>
        <w:t>）</w:t>
      </w:r>
      <w:r>
        <w:rPr>
          <w:rFonts w:hint="eastAsia" w:ascii="宋体" w:hAnsi="宋体" w:cs="宋体"/>
          <w:b/>
          <w:bCs/>
          <w:color w:val="auto"/>
          <w:sz w:val="28"/>
          <w:szCs w:val="28"/>
          <w:highlight w:val="none"/>
        </w:rPr>
        <w:t>价格部分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20 </w:t>
      </w:r>
      <w:r>
        <w:rPr>
          <w:rFonts w:hint="eastAsia" w:ascii="宋体" w:hAnsi="宋体" w:cs="宋体"/>
          <w:b/>
          <w:bCs/>
          <w:color w:val="auto"/>
          <w:sz w:val="28"/>
          <w:szCs w:val="28"/>
          <w:highlight w:val="none"/>
        </w:rPr>
        <w:t>分</w:t>
      </w:r>
    </w:p>
    <w:p w14:paraId="48B203BF">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cs="宋体"/>
          <w:b/>
          <w:bCs/>
          <w:color w:val="auto"/>
          <w:sz w:val="28"/>
          <w:szCs w:val="28"/>
          <w:highlight w:val="none"/>
          <w:lang w:eastAsia="zh-CN"/>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2</w:t>
      </w:r>
      <w:r>
        <w:rPr>
          <w:rFonts w:hint="eastAsia" w:cs="宋体"/>
          <w:b/>
          <w:bCs/>
          <w:color w:val="auto"/>
          <w:sz w:val="28"/>
          <w:szCs w:val="28"/>
          <w:highlight w:val="none"/>
          <w:lang w:eastAsia="zh-CN"/>
        </w:rPr>
        <w:t>）商务部分得分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20 </w:t>
      </w:r>
      <w:r>
        <w:rPr>
          <w:rFonts w:hint="eastAsia" w:ascii="宋体" w:hAnsi="宋体" w:cs="宋体"/>
          <w:b/>
          <w:bCs/>
          <w:color w:val="auto"/>
          <w:sz w:val="28"/>
          <w:szCs w:val="28"/>
          <w:highlight w:val="none"/>
        </w:rPr>
        <w:t>分</w:t>
      </w:r>
    </w:p>
    <w:p w14:paraId="02212E21">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val="en-US" w:eastAsia="zh-CN"/>
        </w:rPr>
        <w:t>（3）</w:t>
      </w:r>
      <w:r>
        <w:rPr>
          <w:rFonts w:hint="eastAsia" w:ascii="宋体" w:hAnsi="宋体" w:eastAsia="宋体" w:cs="宋体"/>
          <w:b/>
          <w:bCs/>
          <w:color w:val="auto"/>
          <w:sz w:val="28"/>
          <w:szCs w:val="28"/>
          <w:highlight w:val="none"/>
        </w:rPr>
        <w:t>技术</w:t>
      </w:r>
      <w:r>
        <w:rPr>
          <w:rFonts w:hint="eastAsia" w:ascii="宋体" w:hAnsi="宋体" w:cs="宋体"/>
          <w:b/>
          <w:bCs/>
          <w:color w:val="auto"/>
          <w:sz w:val="28"/>
          <w:szCs w:val="28"/>
          <w:highlight w:val="none"/>
        </w:rPr>
        <w:t>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60 </w:t>
      </w:r>
      <w:r>
        <w:rPr>
          <w:rFonts w:hint="eastAsia" w:ascii="宋体" w:hAnsi="宋体" w:cs="宋体"/>
          <w:b/>
          <w:bCs/>
          <w:color w:val="auto"/>
          <w:sz w:val="28"/>
          <w:szCs w:val="28"/>
          <w:highlight w:val="none"/>
        </w:rPr>
        <w:t>分</w:t>
      </w:r>
    </w:p>
    <w:p w14:paraId="31DE99C7">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6311E599">
      <w:pPr>
        <w:pStyle w:val="20"/>
        <w:keepNext w:val="0"/>
        <w:keepLines w:val="0"/>
        <w:pageBreakBefore w:val="0"/>
        <w:widowControl w:val="0"/>
        <w:kinsoku/>
        <w:wordWrap/>
        <w:overflowPunct/>
        <w:topLinePunct w:val="0"/>
        <w:autoSpaceDE/>
        <w:autoSpaceDN/>
        <w:bidi w:val="0"/>
        <w:adjustRightInd/>
        <w:snapToGrid/>
        <w:spacing w:before="0" w:after="0"/>
        <w:jc w:val="both"/>
        <w:textAlignment w:val="auto"/>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第一部分  价格部分</w:t>
      </w:r>
      <w:r>
        <w:rPr>
          <w:rFonts w:hint="eastAsia" w:ascii="宋体" w:hAnsi="宋体" w:cs="宋体"/>
          <w:bCs w:val="0"/>
          <w:color w:val="auto"/>
          <w:sz w:val="28"/>
          <w:szCs w:val="28"/>
          <w:highlight w:val="none"/>
          <w:lang w:eastAsia="zh-CN"/>
        </w:rPr>
        <w:t>评价标准</w:t>
      </w:r>
      <w:r>
        <w:rPr>
          <w:rFonts w:hint="eastAsia" w:ascii="宋体" w:hAnsi="宋体" w:cs="宋体"/>
          <w:bCs w:val="0"/>
          <w:color w:val="auto"/>
          <w:sz w:val="28"/>
          <w:szCs w:val="28"/>
          <w:highlight w:val="none"/>
        </w:rPr>
        <w:tab/>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20 </w:t>
      </w:r>
      <w:r>
        <w:rPr>
          <w:rFonts w:hint="eastAsia" w:ascii="宋体" w:hAnsi="宋体" w:cs="宋体"/>
          <w:bCs w:val="0"/>
          <w:color w:val="auto"/>
          <w:sz w:val="28"/>
          <w:szCs w:val="28"/>
          <w:highlight w:val="none"/>
        </w:rPr>
        <w:t>分）</w:t>
      </w:r>
    </w:p>
    <w:tbl>
      <w:tblPr>
        <w:tblStyle w:val="22"/>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14:paraId="29C3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14:paraId="3DC74FFF">
            <w:pPr>
              <w:pStyle w:val="20"/>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0" w:name="_Toc9384"/>
            <w:r>
              <w:rPr>
                <w:rFonts w:hint="eastAsia" w:ascii="宋体" w:hAnsi="宋体" w:eastAsia="宋体" w:cs="宋体"/>
                <w:bCs w:val="0"/>
                <w:color w:val="auto"/>
                <w:sz w:val="28"/>
                <w:szCs w:val="28"/>
                <w:highlight w:val="none"/>
              </w:rPr>
              <w:t>序号</w:t>
            </w:r>
            <w:bookmarkEnd w:id="0"/>
          </w:p>
        </w:tc>
        <w:tc>
          <w:tcPr>
            <w:tcW w:w="1381" w:type="dxa"/>
            <w:noWrap w:val="0"/>
            <w:vAlign w:val="center"/>
          </w:tcPr>
          <w:p w14:paraId="4C98BCBD">
            <w:pPr>
              <w:pStyle w:val="20"/>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1" w:name="_Toc1402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项目</w:t>
            </w:r>
            <w:bookmarkEnd w:id="1"/>
          </w:p>
        </w:tc>
        <w:tc>
          <w:tcPr>
            <w:tcW w:w="1374" w:type="dxa"/>
            <w:noWrap w:val="0"/>
            <w:vAlign w:val="center"/>
          </w:tcPr>
          <w:p w14:paraId="6499F0D9">
            <w:pPr>
              <w:pStyle w:val="20"/>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2" w:name="_Toc29875"/>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分值</w:t>
            </w:r>
            <w:bookmarkEnd w:id="2"/>
          </w:p>
        </w:tc>
        <w:tc>
          <w:tcPr>
            <w:tcW w:w="6285" w:type="dxa"/>
            <w:noWrap w:val="0"/>
            <w:vAlign w:val="center"/>
          </w:tcPr>
          <w:p w14:paraId="782A7C17">
            <w:pPr>
              <w:pStyle w:val="20"/>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3" w:name="_Toc2636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标准</w:t>
            </w:r>
            <w:bookmarkEnd w:id="3"/>
          </w:p>
        </w:tc>
      </w:tr>
      <w:tr w14:paraId="49FB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28FF6D55">
            <w:pPr>
              <w:pStyle w:val="20"/>
              <w:keepNext w:val="0"/>
              <w:keepLines w:val="0"/>
              <w:pageBreakBefore w:val="0"/>
              <w:widowControl w:val="0"/>
              <w:kinsoku/>
              <w:wordWrap/>
              <w:overflowPunct/>
              <w:topLinePunct w:val="0"/>
              <w:autoSpaceDE/>
              <w:autoSpaceDN/>
              <w:bidi w:val="0"/>
              <w:adjustRightInd/>
              <w:snapToGrid/>
              <w:spacing w:before="0" w:after="0" w:line="440" w:lineRule="exact"/>
              <w:ind w:firstLine="240" w:firstLineChars="100"/>
              <w:jc w:val="both"/>
              <w:textAlignment w:val="auto"/>
              <w:outlineLvl w:val="9"/>
              <w:rPr>
                <w:rFonts w:hint="eastAsia" w:ascii="宋体" w:hAnsi="宋体" w:eastAsia="宋体" w:cs="宋体"/>
                <w:b w:val="0"/>
                <w:bCs w:val="0"/>
                <w:color w:val="auto"/>
                <w:sz w:val="24"/>
                <w:szCs w:val="24"/>
                <w:highlight w:val="none"/>
              </w:rPr>
            </w:pPr>
            <w:bookmarkStart w:id="4" w:name="_Toc12598"/>
            <w:r>
              <w:rPr>
                <w:rFonts w:hint="eastAsia" w:ascii="宋体" w:hAnsi="宋体" w:eastAsia="宋体" w:cs="宋体"/>
                <w:b w:val="0"/>
                <w:bCs w:val="0"/>
                <w:color w:val="auto"/>
                <w:sz w:val="24"/>
                <w:szCs w:val="24"/>
                <w:highlight w:val="none"/>
              </w:rPr>
              <w:t>1</w:t>
            </w:r>
            <w:bookmarkEnd w:id="4"/>
          </w:p>
        </w:tc>
        <w:tc>
          <w:tcPr>
            <w:tcW w:w="1381" w:type="dxa"/>
            <w:noWrap w:val="0"/>
            <w:vAlign w:val="center"/>
          </w:tcPr>
          <w:p w14:paraId="0FE75700">
            <w:pPr>
              <w:pStyle w:val="20"/>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auto"/>
                <w:sz w:val="24"/>
                <w:szCs w:val="24"/>
                <w:highlight w:val="none"/>
              </w:rPr>
            </w:pPr>
            <w:bookmarkStart w:id="5" w:name="_Toc16308"/>
            <w:r>
              <w:rPr>
                <w:rFonts w:hint="eastAsia" w:ascii="宋体" w:hAnsi="宋体" w:eastAsia="宋体" w:cs="宋体"/>
                <w:b w:val="0"/>
                <w:bCs w:val="0"/>
                <w:color w:val="auto"/>
                <w:sz w:val="24"/>
                <w:szCs w:val="24"/>
                <w:highlight w:val="none"/>
              </w:rPr>
              <w:t>报价得分</w:t>
            </w:r>
            <w:bookmarkEnd w:id="5"/>
          </w:p>
        </w:tc>
        <w:tc>
          <w:tcPr>
            <w:tcW w:w="1374" w:type="dxa"/>
            <w:noWrap w:val="0"/>
            <w:vAlign w:val="center"/>
          </w:tcPr>
          <w:p w14:paraId="1096BD9B">
            <w:pPr>
              <w:pStyle w:val="20"/>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u w:val="single"/>
                <w:lang w:val="en-US" w:eastAsia="zh-CN"/>
              </w:rPr>
              <w:t>20</w:t>
            </w:r>
            <w:r>
              <w:rPr>
                <w:rFonts w:hint="eastAsia" w:ascii="宋体" w:hAnsi="宋体" w:eastAsia="宋体" w:cs="宋体"/>
                <w:b w:val="0"/>
                <w:bCs w:val="0"/>
                <w:color w:val="auto"/>
                <w:sz w:val="24"/>
                <w:szCs w:val="24"/>
                <w:highlight w:val="none"/>
                <w:lang w:eastAsia="zh-CN"/>
              </w:rPr>
              <w:t>分</w:t>
            </w:r>
          </w:p>
        </w:tc>
        <w:tc>
          <w:tcPr>
            <w:tcW w:w="6285" w:type="dxa"/>
            <w:noWrap w:val="0"/>
            <w:vAlign w:val="center"/>
          </w:tcPr>
          <w:p w14:paraId="38D912DA">
            <w:pPr>
              <w:pStyle w:val="55"/>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比选申请人</w:t>
            </w:r>
            <w:r>
              <w:rPr>
                <w:rFonts w:hint="eastAsia" w:ascii="宋体" w:hAnsi="宋体" w:eastAsia="宋体" w:cs="宋体"/>
                <w:color w:val="auto"/>
                <w:sz w:val="24"/>
                <w:szCs w:val="24"/>
                <w:highlight w:val="none"/>
              </w:rPr>
              <w:t>报价情况进行评价：</w:t>
            </w:r>
          </w:p>
          <w:p w14:paraId="40DF61FD">
            <w:pPr>
              <w:keepNext w:val="0"/>
              <w:keepLines w:val="0"/>
              <w:pageBreakBefore w:val="0"/>
              <w:kinsoku/>
              <w:wordWrap/>
              <w:overflowPunct/>
              <w:topLinePunct w:val="0"/>
              <w:autoSpaceDE/>
              <w:autoSpaceDN/>
              <w:bidi w:val="0"/>
              <w:spacing w:afterAutospacing="0" w:line="400" w:lineRule="exact"/>
              <w:ind w:left="105" w:leftChars="50" w:right="105" w:rightChars="50"/>
              <w:textAlignment w:val="auto"/>
              <w:rPr>
                <w:rFonts w:hint="default"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①策划服务费报价金额不超过</w:t>
            </w:r>
            <w:r>
              <w:rPr>
                <w:rFonts w:hint="eastAsia" w:ascii="宋体" w:hAnsi="宋体" w:eastAsia="宋体" w:cs="宋体"/>
                <w:color w:val="auto"/>
                <w:sz w:val="24"/>
                <w:szCs w:val="24"/>
                <w:highlight w:val="none"/>
                <w:lang w:eastAsia="zh-CN"/>
              </w:rPr>
              <w:t>比选人</w:t>
            </w:r>
            <w:r>
              <w:rPr>
                <w:rFonts w:hint="eastAsia" w:ascii="宋体" w:hAnsi="宋体" w:eastAsia="宋体" w:cs="宋体"/>
                <w:color w:val="auto"/>
                <w:sz w:val="24"/>
                <w:szCs w:val="24"/>
                <w:highlight w:val="none"/>
              </w:rPr>
              <w:t>公布的策划服务费金额（即53000元/月（不含税））</w:t>
            </w:r>
            <w:r>
              <w:rPr>
                <w:rFonts w:hint="eastAsia" w:ascii="宋体" w:hAnsi="宋体" w:eastAsia="宋体" w:cs="宋体"/>
                <w:color w:val="auto"/>
                <w:sz w:val="24"/>
                <w:szCs w:val="24"/>
                <w:highlight w:val="none"/>
                <w:lang w:eastAsia="zh-CN"/>
              </w:rPr>
              <w:t>，</w:t>
            </w:r>
            <w:r>
              <w:rPr>
                <w:rFonts w:hint="default" w:ascii="宋体" w:hAnsi="宋体" w:cs="宋体"/>
                <w:color w:val="auto"/>
                <w:sz w:val="24"/>
                <w:szCs w:val="24"/>
                <w:highlight w:val="none"/>
                <w:lang w:val="en-US" w:eastAsia="zh-CN"/>
              </w:rPr>
              <w:t>报价由低到高排序，第一名得20分，第二名得18分，第三名得16分。其</w:t>
            </w:r>
            <w:r>
              <w:rPr>
                <w:rFonts w:hint="eastAsia" w:ascii="宋体" w:hAnsi="宋体" w:cs="宋体"/>
                <w:color w:val="auto"/>
                <w:sz w:val="24"/>
                <w:szCs w:val="24"/>
                <w:highlight w:val="none"/>
                <w:lang w:val="en-US" w:eastAsia="zh-CN"/>
              </w:rPr>
              <w:t>它</w:t>
            </w:r>
            <w:r>
              <w:rPr>
                <w:rFonts w:hint="default" w:ascii="宋体" w:hAnsi="宋体" w:cs="宋体"/>
                <w:color w:val="auto"/>
                <w:sz w:val="24"/>
                <w:szCs w:val="24"/>
                <w:highlight w:val="none"/>
                <w:lang w:val="en-US" w:eastAsia="zh-CN"/>
              </w:rPr>
              <w:t>名次得14分。</w:t>
            </w:r>
          </w:p>
          <w:p w14:paraId="65AE80D7">
            <w:pPr>
              <w:pStyle w:val="55"/>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w:t>
            </w:r>
            <w:r>
              <w:rPr>
                <w:rFonts w:hint="default" w:ascii="宋体" w:hAnsi="宋体" w:cs="宋体"/>
                <w:color w:val="auto"/>
                <w:sz w:val="24"/>
                <w:szCs w:val="24"/>
                <w:highlight w:val="none"/>
                <w:lang w:val="en-US" w:eastAsia="zh-CN"/>
              </w:rPr>
              <w:t>报价</w:t>
            </w:r>
            <w:r>
              <w:rPr>
                <w:rFonts w:hint="eastAsia" w:ascii="宋体" w:hAnsi="宋体" w:cs="宋体"/>
                <w:color w:val="auto"/>
                <w:sz w:val="24"/>
                <w:szCs w:val="24"/>
                <w:highlight w:val="none"/>
                <w:lang w:val="en-US" w:eastAsia="zh-CN"/>
              </w:rPr>
              <w:t>相同</w:t>
            </w:r>
            <w:r>
              <w:rPr>
                <w:rFonts w:hint="default" w:ascii="宋体" w:hAnsi="宋体" w:cs="宋体"/>
                <w:color w:val="auto"/>
                <w:sz w:val="24"/>
                <w:szCs w:val="24"/>
                <w:highlight w:val="none"/>
                <w:lang w:val="en-US" w:eastAsia="zh-CN"/>
              </w:rPr>
              <w:t>的</w:t>
            </w:r>
            <w:r>
              <w:rPr>
                <w:rFonts w:hint="eastAsia" w:ascii="宋体" w:hAnsi="宋体" w:cs="宋体"/>
                <w:color w:val="auto"/>
                <w:sz w:val="24"/>
                <w:szCs w:val="24"/>
                <w:highlight w:val="none"/>
                <w:lang w:val="en-US" w:eastAsia="zh-CN"/>
              </w:rPr>
              <w:t>视</w:t>
            </w:r>
            <w:r>
              <w:rPr>
                <w:rFonts w:hint="default" w:ascii="宋体" w:hAnsi="宋体" w:cs="宋体"/>
                <w:color w:val="auto"/>
                <w:sz w:val="24"/>
                <w:szCs w:val="24"/>
                <w:highlight w:val="none"/>
                <w:lang w:val="en-US" w:eastAsia="zh-CN"/>
              </w:rPr>
              <w:t>为同一名</w:t>
            </w:r>
            <w:r>
              <w:rPr>
                <w:rFonts w:hint="eastAsia" w:ascii="宋体" w:hAnsi="宋体" w:eastAsia="宋体" w:cs="宋体"/>
                <w:color w:val="auto"/>
                <w:sz w:val="24"/>
                <w:szCs w:val="24"/>
                <w:highlight w:val="none"/>
              </w:rPr>
              <w:t>。</w:t>
            </w:r>
          </w:p>
        </w:tc>
      </w:tr>
    </w:tbl>
    <w:p w14:paraId="363721DF">
      <w:pPr>
        <w:rPr>
          <w:rFonts w:hint="eastAsia"/>
          <w:color w:val="auto"/>
          <w:highlight w:val="none"/>
        </w:rPr>
      </w:pPr>
    </w:p>
    <w:p w14:paraId="180DF7C1">
      <w:pPr>
        <w:pStyle w:val="20"/>
        <w:jc w:val="both"/>
        <w:outlineLvl w:val="9"/>
        <w:rPr>
          <w:rFonts w:hint="eastAsia" w:ascii="宋体" w:hAnsi="宋体" w:cs="宋体"/>
          <w:bCs w:val="0"/>
          <w:color w:val="auto"/>
          <w:sz w:val="28"/>
          <w:szCs w:val="28"/>
          <w:highlight w:val="none"/>
        </w:rPr>
      </w:pPr>
      <w:bookmarkStart w:id="6" w:name="_Toc17988"/>
      <w:r>
        <w:rPr>
          <w:rFonts w:hint="eastAsia" w:ascii="宋体" w:hAnsi="宋体" w:cs="宋体"/>
          <w:bCs w:val="0"/>
          <w:color w:val="auto"/>
          <w:sz w:val="28"/>
          <w:szCs w:val="28"/>
          <w:highlight w:val="none"/>
        </w:rPr>
        <w:t xml:space="preserve">第二部分  </w:t>
      </w:r>
      <w:r>
        <w:rPr>
          <w:rFonts w:hint="eastAsia" w:ascii="宋体" w:hAnsi="宋体" w:cs="宋体"/>
          <w:bCs w:val="0"/>
          <w:color w:val="auto"/>
          <w:sz w:val="28"/>
          <w:szCs w:val="28"/>
          <w:highlight w:val="none"/>
          <w:lang w:eastAsia="zh-CN"/>
        </w:rPr>
        <w:t>商务</w:t>
      </w:r>
      <w:r>
        <w:rPr>
          <w:rFonts w:hint="eastAsia" w:ascii="宋体" w:hAnsi="宋体" w:cs="宋体"/>
          <w:bCs w:val="0"/>
          <w:color w:val="auto"/>
          <w:sz w:val="28"/>
          <w:szCs w:val="28"/>
          <w:highlight w:val="none"/>
        </w:rPr>
        <w:t>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20 </w:t>
      </w:r>
      <w:r>
        <w:rPr>
          <w:rFonts w:hint="eastAsia" w:ascii="宋体" w:hAnsi="宋体" w:cs="宋体"/>
          <w:bCs w:val="0"/>
          <w:color w:val="auto"/>
          <w:sz w:val="28"/>
          <w:szCs w:val="28"/>
          <w:highlight w:val="none"/>
        </w:rPr>
        <w:t>分）</w:t>
      </w:r>
    </w:p>
    <w:tbl>
      <w:tblPr>
        <w:tblStyle w:val="22"/>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1A4A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29C88DB3">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序号</w:t>
            </w:r>
          </w:p>
        </w:tc>
        <w:tc>
          <w:tcPr>
            <w:tcW w:w="1357" w:type="dxa"/>
            <w:noWrap w:val="0"/>
            <w:vAlign w:val="center"/>
          </w:tcPr>
          <w:p w14:paraId="45D15955">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项目</w:t>
            </w:r>
          </w:p>
        </w:tc>
        <w:tc>
          <w:tcPr>
            <w:tcW w:w="1389" w:type="dxa"/>
            <w:noWrap w:val="0"/>
            <w:vAlign w:val="center"/>
          </w:tcPr>
          <w:p w14:paraId="31D60072">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分值</w:t>
            </w:r>
          </w:p>
        </w:tc>
        <w:tc>
          <w:tcPr>
            <w:tcW w:w="6272" w:type="dxa"/>
            <w:noWrap w:val="0"/>
            <w:vAlign w:val="center"/>
          </w:tcPr>
          <w:p w14:paraId="5B361098">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标准</w:t>
            </w:r>
          </w:p>
        </w:tc>
      </w:tr>
      <w:tr w14:paraId="077F9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restart"/>
            <w:noWrap w:val="0"/>
            <w:vAlign w:val="center"/>
          </w:tcPr>
          <w:p w14:paraId="2F81724B">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w:t>
            </w:r>
          </w:p>
        </w:tc>
        <w:tc>
          <w:tcPr>
            <w:tcW w:w="1357" w:type="dxa"/>
            <w:vMerge w:val="restart"/>
            <w:noWrap w:val="0"/>
            <w:vAlign w:val="center"/>
          </w:tcPr>
          <w:p w14:paraId="13A7FE6A">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商务评分标准</w:t>
            </w:r>
          </w:p>
        </w:tc>
        <w:tc>
          <w:tcPr>
            <w:tcW w:w="1389" w:type="dxa"/>
            <w:noWrap w:val="0"/>
            <w:vAlign w:val="center"/>
          </w:tcPr>
          <w:p w14:paraId="0C1C4512">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10分</w:t>
            </w:r>
          </w:p>
        </w:tc>
        <w:tc>
          <w:tcPr>
            <w:tcW w:w="6272" w:type="dxa"/>
            <w:noWrap w:val="0"/>
            <w:vAlign w:val="center"/>
          </w:tcPr>
          <w:p w14:paraId="486F0A95">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企业类似业绩情况（10分）</w:t>
            </w:r>
          </w:p>
          <w:p w14:paraId="2E2EF54A">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同类项目业绩满足资格审查最低要求，得基本分7分；每增加一个独立承接策划过单套单层建筑面积≥150㎡大平层类似业绩的加1分，本项满分10分。</w:t>
            </w:r>
          </w:p>
          <w:p w14:paraId="5C26AED8">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bCs/>
                <w:color w:val="auto"/>
                <w:sz w:val="24"/>
                <w:szCs w:val="24"/>
                <w:highlight w:val="none"/>
                <w:lang w:val="en-US" w:eastAsia="zh-CN"/>
              </w:rPr>
              <w:t>注：比选申请人应提供业绩合同原件扫描件，合同须体现合同签订时间、签约主体、合作内容、项目建筑面积及合同盖章页、合同金额页、发票复印件（需要“国家税务总局全国增值税发票查验平台”验真截图）等业绩指标要求的所有内容，如业绩合同未能反映比选文件要求的，比选申请人需提供其他佐证材料证明。否则，评价小组可作出不利于比选申请人的认定。业绩时间以业绩合同签订之日为准。</w:t>
            </w:r>
          </w:p>
        </w:tc>
      </w:tr>
      <w:tr w14:paraId="6A0D3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14:paraId="21934278">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Cs/>
                <w:color w:val="auto"/>
                <w:kern w:val="2"/>
                <w:sz w:val="24"/>
                <w:szCs w:val="24"/>
                <w:highlight w:val="none"/>
                <w:lang w:val="en-US" w:eastAsia="zh-CN" w:bidi="ar-SA"/>
              </w:rPr>
            </w:pPr>
          </w:p>
        </w:tc>
        <w:tc>
          <w:tcPr>
            <w:tcW w:w="1357" w:type="dxa"/>
            <w:vMerge w:val="continue"/>
            <w:noWrap w:val="0"/>
            <w:vAlign w:val="center"/>
          </w:tcPr>
          <w:p w14:paraId="399D3C14">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Cs/>
                <w:color w:val="auto"/>
                <w:kern w:val="2"/>
                <w:sz w:val="24"/>
                <w:szCs w:val="24"/>
                <w:highlight w:val="none"/>
                <w:lang w:val="en-US" w:eastAsia="zh-CN" w:bidi="ar-SA"/>
              </w:rPr>
            </w:pPr>
          </w:p>
        </w:tc>
        <w:tc>
          <w:tcPr>
            <w:tcW w:w="1389" w:type="dxa"/>
            <w:noWrap w:val="0"/>
            <w:vAlign w:val="center"/>
          </w:tcPr>
          <w:p w14:paraId="4D86EDC6">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10分</w:t>
            </w:r>
          </w:p>
        </w:tc>
        <w:tc>
          <w:tcPr>
            <w:tcW w:w="6272" w:type="dxa"/>
            <w:noWrap w:val="0"/>
            <w:vAlign w:val="center"/>
          </w:tcPr>
          <w:p w14:paraId="6207DF12">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拟派人员类似业绩情况（</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w:t>
            </w:r>
          </w:p>
          <w:p w14:paraId="446D15F4">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strike w:val="0"/>
                <w:dstrike/>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根据拟投入本项目主要管理人员自2021年9月1日起至本项目比选公告发布之日（含当日）的业绩情况进行评分：</w:t>
            </w:r>
          </w:p>
          <w:p w14:paraId="37B22287">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1.比选申请人拟委任项目设计总监具有一项独立承接策划过单套单层建筑面积≥150㎡大平层类似业绩的得基本分3分，每增加一项上述业绩加1分，本项满分4分。</w:t>
            </w:r>
          </w:p>
          <w:p w14:paraId="1F9C7C0D">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2.比选申请人拟委任项目策划总监具有一项独立承接策划过单套单层建筑面积≥150㎡大平层类似业绩的得基本分2分，每增加一项上述业绩加1分，本项满分3分。</w:t>
            </w:r>
          </w:p>
          <w:p w14:paraId="71E366E1">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3.比选申请人拟委任项目文案总监具有一项独立承接策划过单套单层建筑面积≥150㎡大平层类似业绩的得基本分2分，每增加一项上述业绩加1分，本项满分3分。</w:t>
            </w:r>
          </w:p>
          <w:p w14:paraId="1395B648">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bCs/>
                <w:color w:val="auto"/>
                <w:sz w:val="24"/>
                <w:szCs w:val="24"/>
                <w:highlight w:val="none"/>
                <w:lang w:val="en-US" w:eastAsia="zh-CN"/>
              </w:rPr>
              <w:t>注：比选申请人需提供业绩合同协议扫描件，并提供以上三个职位人员的相关信息，包括姓名，项目情况等证明；若提供的业绩材料中均未标明三个职位人员名字，应补充提交能恰当说明上述人员的证明材料，如：建设单位出具的证明文件等，否则其业绩不计。以上人员应为比选申请人本企业在岗职工，以社保管理部门出具近三个月的社保缴费证明所署单位为准</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未提供的不得分。</w:t>
            </w:r>
          </w:p>
        </w:tc>
      </w:tr>
    </w:tbl>
    <w:p w14:paraId="0431FD15">
      <w:pPr>
        <w:pStyle w:val="20"/>
        <w:jc w:val="both"/>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w:t>
      </w:r>
      <w:r>
        <w:rPr>
          <w:rFonts w:hint="eastAsia" w:ascii="宋体" w:hAnsi="宋体" w:cs="宋体"/>
          <w:bCs w:val="0"/>
          <w:color w:val="auto"/>
          <w:sz w:val="28"/>
          <w:szCs w:val="28"/>
          <w:highlight w:val="none"/>
          <w:lang w:eastAsia="zh-CN"/>
        </w:rPr>
        <w:t>三</w:t>
      </w:r>
      <w:r>
        <w:rPr>
          <w:rFonts w:hint="eastAsia" w:ascii="宋体" w:hAnsi="宋体" w:cs="宋体"/>
          <w:bCs w:val="0"/>
          <w:color w:val="auto"/>
          <w:sz w:val="28"/>
          <w:szCs w:val="28"/>
          <w:highlight w:val="none"/>
        </w:rPr>
        <w:t>部分  技术部分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60 </w:t>
      </w:r>
      <w:r>
        <w:rPr>
          <w:rFonts w:hint="eastAsia" w:ascii="宋体" w:hAnsi="宋体" w:cs="宋体"/>
          <w:bCs w:val="0"/>
          <w:color w:val="auto"/>
          <w:sz w:val="28"/>
          <w:szCs w:val="28"/>
          <w:highlight w:val="none"/>
        </w:rPr>
        <w:t>分）</w:t>
      </w:r>
      <w:bookmarkEnd w:id="6"/>
    </w:p>
    <w:tbl>
      <w:tblPr>
        <w:tblStyle w:val="22"/>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5C1F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583CC58A">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序号</w:t>
            </w:r>
          </w:p>
        </w:tc>
        <w:tc>
          <w:tcPr>
            <w:tcW w:w="1357" w:type="dxa"/>
            <w:noWrap w:val="0"/>
            <w:vAlign w:val="center"/>
          </w:tcPr>
          <w:p w14:paraId="0A0AD656">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项目</w:t>
            </w:r>
          </w:p>
        </w:tc>
        <w:tc>
          <w:tcPr>
            <w:tcW w:w="1389" w:type="dxa"/>
            <w:noWrap w:val="0"/>
            <w:vAlign w:val="center"/>
          </w:tcPr>
          <w:p w14:paraId="4A7D8BD9">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分值</w:t>
            </w:r>
          </w:p>
        </w:tc>
        <w:tc>
          <w:tcPr>
            <w:tcW w:w="6272" w:type="dxa"/>
            <w:noWrap w:val="0"/>
            <w:vAlign w:val="center"/>
          </w:tcPr>
          <w:p w14:paraId="207D6238">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标准</w:t>
            </w:r>
          </w:p>
        </w:tc>
      </w:tr>
      <w:tr w14:paraId="59F95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6DD27009">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w:t>
            </w:r>
          </w:p>
        </w:tc>
        <w:tc>
          <w:tcPr>
            <w:tcW w:w="1357" w:type="dxa"/>
            <w:noWrap w:val="0"/>
            <w:vAlign w:val="center"/>
          </w:tcPr>
          <w:p w14:paraId="370BBBBC">
            <w:pPr>
              <w:keepNext w:val="0"/>
              <w:keepLines w:val="0"/>
              <w:pageBreakBefore w:val="0"/>
              <w:kinsoku/>
              <w:wordWrap/>
              <w:overflowPunct/>
              <w:topLinePunct w:val="0"/>
              <w:autoSpaceDE/>
              <w:autoSpaceDN/>
              <w:bidi w:val="0"/>
              <w:adjustRightInd/>
              <w:snapToGrid/>
              <w:spacing w:afterAutospacing="0" w:line="400" w:lineRule="exact"/>
              <w:jc w:val="center"/>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技术评分标准</w:t>
            </w:r>
          </w:p>
        </w:tc>
        <w:tc>
          <w:tcPr>
            <w:tcW w:w="1389" w:type="dxa"/>
            <w:noWrap w:val="0"/>
            <w:vAlign w:val="center"/>
          </w:tcPr>
          <w:p w14:paraId="1AB87579">
            <w:pPr>
              <w:keepNext w:val="0"/>
              <w:keepLines w:val="0"/>
              <w:pageBreakBefore w:val="0"/>
              <w:kinsoku/>
              <w:wordWrap/>
              <w:overflowPunct/>
              <w:topLinePunct w:val="0"/>
              <w:autoSpaceDE/>
              <w:autoSpaceDN/>
              <w:bidi w:val="0"/>
              <w:adjustRightInd/>
              <w:snapToGrid/>
              <w:spacing w:afterAutospacing="0" w:line="400" w:lineRule="exact"/>
              <w:jc w:val="center"/>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60分</w:t>
            </w:r>
          </w:p>
        </w:tc>
        <w:tc>
          <w:tcPr>
            <w:tcW w:w="6272" w:type="dxa"/>
            <w:noWrap w:val="0"/>
            <w:vAlign w:val="center"/>
          </w:tcPr>
          <w:p w14:paraId="700C9132">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根据</w:t>
            </w:r>
            <w:r>
              <w:rPr>
                <w:rFonts w:hint="eastAsia" w:ascii="宋体" w:hAnsi="宋体" w:eastAsia="宋体" w:cs="宋体"/>
                <w:color w:val="auto"/>
                <w:sz w:val="24"/>
                <w:szCs w:val="24"/>
                <w:highlight w:val="none"/>
              </w:rPr>
              <w:t>提交资料情况及相似案例汇报陈述等，</w:t>
            </w:r>
            <w:r>
              <w:rPr>
                <w:rFonts w:hint="eastAsia" w:ascii="宋体" w:hAnsi="宋体" w:eastAsia="宋体" w:cs="宋体"/>
                <w:color w:val="auto"/>
                <w:sz w:val="24"/>
                <w:szCs w:val="24"/>
                <w:highlight w:val="none"/>
                <w:lang w:val="en-US" w:eastAsia="zh-CN"/>
              </w:rPr>
              <w:t>根据现场提报方案</w:t>
            </w:r>
            <w:r>
              <w:rPr>
                <w:rFonts w:hint="eastAsia" w:ascii="宋体" w:hAnsi="宋体" w:eastAsia="宋体" w:cs="宋体"/>
                <w:color w:val="auto"/>
                <w:sz w:val="24"/>
                <w:szCs w:val="24"/>
                <w:highlight w:val="none"/>
              </w:rPr>
              <w:t>打分。</w:t>
            </w:r>
          </w:p>
          <w:p w14:paraId="7E5467E6">
            <w:pPr>
              <w:keepNext w:val="0"/>
              <w:keepLines w:val="0"/>
              <w:pageBreakBefore w:val="0"/>
              <w:kinsoku/>
              <w:wordWrap/>
              <w:overflowPunct/>
              <w:topLinePunct w:val="0"/>
              <w:autoSpaceDE/>
              <w:autoSpaceDN/>
              <w:bidi w:val="0"/>
              <w:spacing w:afterAutospacing="0" w:line="400" w:lineRule="exact"/>
              <w:ind w:left="105" w:leftChars="50" w:right="105" w:rightChars="5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1.完整性；根据比选申请人提交的技术文件内容符合规范、标准的基本完整的得基本分</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分，方案思路清晰明确的加</w:t>
            </w:r>
            <w:r>
              <w:rPr>
                <w:rFonts w:hint="eastAsia" w:ascii="宋体" w:hAnsi="宋体" w:cs="宋体"/>
                <w:color w:val="auto"/>
                <w:sz w:val="24"/>
                <w:szCs w:val="24"/>
                <w:highlight w:val="none"/>
                <w:lang w:val="en-US" w:eastAsia="zh-CN"/>
              </w:rPr>
              <w:t>1～6</w:t>
            </w:r>
            <w:r>
              <w:rPr>
                <w:rFonts w:hint="eastAsia" w:ascii="宋体" w:hAnsi="宋体" w:eastAsia="宋体" w:cs="宋体"/>
                <w:color w:val="auto"/>
                <w:sz w:val="24"/>
                <w:szCs w:val="24"/>
                <w:highlight w:val="none"/>
                <w:lang w:val="en-US" w:eastAsia="zh-CN"/>
              </w:rPr>
              <w:t>分，本项最高得1</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lang w:eastAsia="zh-CN"/>
              </w:rPr>
              <w:t>；</w:t>
            </w:r>
          </w:p>
          <w:p w14:paraId="642F29CA">
            <w:pPr>
              <w:keepNext w:val="0"/>
              <w:keepLines w:val="0"/>
              <w:pageBreakBefore w:val="0"/>
              <w:kinsoku/>
              <w:wordWrap/>
              <w:overflowPunct/>
              <w:topLinePunct w:val="0"/>
              <w:autoSpaceDE/>
              <w:autoSpaceDN/>
              <w:bidi w:val="0"/>
              <w:spacing w:afterAutospacing="0" w:line="400" w:lineRule="exact"/>
              <w:ind w:left="105" w:leftChars="50" w:right="105" w:rightChars="5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2.目的和任务；根据比选申请人提交技术文件内容描述本项目目的和任务满足</w:t>
            </w:r>
            <w:r>
              <w:rPr>
                <w:rFonts w:hint="eastAsia" w:ascii="宋体" w:hAnsi="宋体" w:cs="宋体"/>
                <w:color w:val="auto"/>
                <w:sz w:val="24"/>
                <w:szCs w:val="24"/>
                <w:highlight w:val="none"/>
                <w:lang w:val="en-US" w:eastAsia="zh-CN"/>
              </w:rPr>
              <w:t>比选</w:t>
            </w:r>
            <w:r>
              <w:rPr>
                <w:rFonts w:hint="eastAsia" w:ascii="宋体" w:hAnsi="宋体" w:eastAsia="宋体" w:cs="宋体"/>
                <w:color w:val="auto"/>
                <w:sz w:val="24"/>
                <w:szCs w:val="24"/>
                <w:highlight w:val="none"/>
                <w:lang w:val="en-US" w:eastAsia="zh-CN"/>
              </w:rPr>
              <w:t>文件规定要求的得基本分</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分；准确完整加1</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lang w:val="en-US" w:eastAsia="zh-CN"/>
              </w:rPr>
              <w:t>分，本项最高得</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lang w:eastAsia="zh-CN"/>
              </w:rPr>
              <w:t>；</w:t>
            </w:r>
          </w:p>
          <w:p w14:paraId="315D3BAD">
            <w:pPr>
              <w:keepNext w:val="0"/>
              <w:keepLines w:val="0"/>
              <w:pageBreakBefore w:val="0"/>
              <w:kinsoku/>
              <w:wordWrap/>
              <w:overflowPunct/>
              <w:topLinePunct w:val="0"/>
              <w:autoSpaceDE/>
              <w:autoSpaceDN/>
              <w:bidi w:val="0"/>
              <w:spacing w:afterAutospacing="0" w:line="400" w:lineRule="exact"/>
              <w:ind w:left="105" w:leftChars="50" w:right="105" w:rightChars="5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3.项目</w:t>
            </w:r>
            <w:r>
              <w:rPr>
                <w:rFonts w:hint="eastAsia" w:ascii="宋体" w:hAnsi="宋体" w:eastAsia="宋体" w:cs="宋体"/>
                <w:color w:val="auto"/>
                <w:sz w:val="24"/>
                <w:szCs w:val="24"/>
                <w:highlight w:val="none"/>
                <w:lang w:eastAsia="zh-CN"/>
              </w:rPr>
              <w:t>方案和技术要求</w:t>
            </w:r>
            <w:r>
              <w:rPr>
                <w:rFonts w:hint="eastAsia" w:ascii="宋体" w:hAnsi="宋体" w:eastAsia="宋体" w:cs="宋体"/>
                <w:color w:val="auto"/>
                <w:sz w:val="24"/>
                <w:szCs w:val="24"/>
                <w:highlight w:val="none"/>
                <w:lang w:val="en-US" w:eastAsia="zh-CN"/>
              </w:rPr>
              <w:t>；能够按照</w:t>
            </w:r>
            <w:r>
              <w:rPr>
                <w:rFonts w:hint="eastAsia" w:ascii="宋体" w:hAnsi="宋体" w:cs="宋体"/>
                <w:color w:val="auto"/>
                <w:sz w:val="24"/>
                <w:szCs w:val="24"/>
                <w:highlight w:val="none"/>
                <w:lang w:val="en-US" w:eastAsia="zh-CN"/>
              </w:rPr>
              <w:t>比选</w:t>
            </w:r>
            <w:r>
              <w:rPr>
                <w:rFonts w:hint="eastAsia" w:ascii="宋体" w:hAnsi="宋体" w:eastAsia="宋体" w:cs="宋体"/>
                <w:color w:val="auto"/>
                <w:sz w:val="24"/>
                <w:szCs w:val="24"/>
                <w:highlight w:val="none"/>
                <w:lang w:val="en-US" w:eastAsia="zh-CN"/>
              </w:rPr>
              <w:t>文件全案策划具体内容要求进行布设，满足相关规范要求得基本分</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分，能结合项目所处位置和性质特征进行优化布置加1</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lang w:val="en-US" w:eastAsia="zh-CN"/>
              </w:rPr>
              <w:t>分，本项最高得</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lang w:eastAsia="zh-CN"/>
              </w:rPr>
              <w:t>；</w:t>
            </w:r>
          </w:p>
          <w:p w14:paraId="6441A4D8">
            <w:pPr>
              <w:keepNext w:val="0"/>
              <w:keepLines w:val="0"/>
              <w:pageBreakBefore w:val="0"/>
              <w:kinsoku/>
              <w:wordWrap/>
              <w:overflowPunct/>
              <w:topLinePunct w:val="0"/>
              <w:autoSpaceDE/>
              <w:autoSpaceDN/>
              <w:bidi w:val="0"/>
              <w:spacing w:afterAutospacing="0" w:line="400" w:lineRule="exact"/>
              <w:ind w:left="105" w:leftChars="50" w:right="105" w:rightChars="5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4.效果文件；根据比选申请人提出的效果文件主要内容符合规范和标准要求的且满足</w:t>
            </w:r>
            <w:r>
              <w:rPr>
                <w:rFonts w:hint="eastAsia" w:ascii="宋体" w:hAnsi="宋体" w:cs="宋体"/>
                <w:color w:val="auto"/>
                <w:sz w:val="24"/>
                <w:szCs w:val="24"/>
                <w:highlight w:val="none"/>
                <w:lang w:val="en-US" w:eastAsia="zh-CN"/>
              </w:rPr>
              <w:t>比选</w:t>
            </w:r>
            <w:r>
              <w:rPr>
                <w:rFonts w:hint="eastAsia" w:ascii="宋体" w:hAnsi="宋体" w:eastAsia="宋体" w:cs="宋体"/>
                <w:color w:val="auto"/>
                <w:sz w:val="24"/>
                <w:szCs w:val="24"/>
                <w:highlight w:val="none"/>
                <w:lang w:val="en-US" w:eastAsia="zh-CN"/>
              </w:rPr>
              <w:t>文件要求的得基本分</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lang w:val="en-US" w:eastAsia="zh-CN"/>
              </w:rPr>
              <w:t>分，创新优化加1</w:t>
            </w:r>
            <w:r>
              <w:rPr>
                <w:rFonts w:hint="eastAsia" w:ascii="宋体" w:hAnsi="宋体" w:cs="宋体"/>
                <w:color w:val="auto"/>
                <w:sz w:val="24"/>
                <w:szCs w:val="24"/>
                <w:highlight w:val="none"/>
                <w:lang w:val="en-US" w:eastAsia="zh-CN"/>
              </w:rPr>
              <w:t>.5～9</w:t>
            </w:r>
            <w:r>
              <w:rPr>
                <w:rFonts w:hint="eastAsia" w:ascii="宋体" w:hAnsi="宋体" w:eastAsia="宋体" w:cs="宋体"/>
                <w:color w:val="auto"/>
                <w:sz w:val="24"/>
                <w:szCs w:val="24"/>
                <w:highlight w:val="none"/>
                <w:lang w:val="en-US" w:eastAsia="zh-CN"/>
              </w:rPr>
              <w:t>分，本项最高得</w:t>
            </w:r>
            <w:r>
              <w:rPr>
                <w:rFonts w:hint="eastAsia" w:ascii="宋体" w:hAnsi="宋体" w:cs="宋体"/>
                <w:color w:val="auto"/>
                <w:sz w:val="24"/>
                <w:szCs w:val="24"/>
                <w:highlight w:val="none"/>
                <w:lang w:val="en-US" w:eastAsia="zh-CN"/>
              </w:rPr>
              <w:t>21</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lang w:eastAsia="zh-CN"/>
              </w:rPr>
              <w:t>。</w:t>
            </w:r>
          </w:p>
          <w:p w14:paraId="31B6563A">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14:paraId="26739240">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（1）比选申请人应将汇报方案拷贝至U盘并保证U盘能正常使用，方案U盘应单独密封并在密封处加盖比选申请人单位公章。方案汇报时间不得超过40分钟。</w:t>
            </w:r>
          </w:p>
          <w:p w14:paraId="2BD2FEF5">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（2）比选申请人应派出汇报人到场对方案进行汇报。汇报人需携带授权委托书（格式后附）原件、身份证原件于比选截止时间前至比选地点递交拟汇报方案U盘；否则视为比选申请人放弃方案汇报。</w:t>
            </w:r>
          </w:p>
          <w:p w14:paraId="04876D80">
            <w:pPr>
              <w:keepNext w:val="0"/>
              <w:keepLines w:val="0"/>
              <w:pageBreakBefore w:val="0"/>
              <w:kinsoku/>
              <w:wordWrap/>
              <w:overflowPunct/>
              <w:topLinePunct w:val="0"/>
              <w:autoSpaceDE/>
              <w:autoSpaceDN/>
              <w:bidi w:val="0"/>
              <w:adjustRightInd/>
              <w:snapToGrid/>
              <w:spacing w:afterAutospacing="0" w:line="400" w:lineRule="exact"/>
              <w:ind w:left="105" w:leftChars="50" w:right="105" w:rightChars="5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bCs/>
                <w:color w:val="auto"/>
                <w:sz w:val="24"/>
                <w:szCs w:val="24"/>
                <w:highlight w:val="none"/>
                <w:lang w:val="en-US" w:eastAsia="zh-CN"/>
              </w:rPr>
              <w:t>（3）汇报人以现场签到时间先后顺序分别进行讲解，评价小组根据方案讲解、方案内容等结合评分标准打分。</w:t>
            </w:r>
          </w:p>
        </w:tc>
      </w:tr>
    </w:tbl>
    <w:p w14:paraId="5CE5C8EE">
      <w:pPr>
        <w:widowControl/>
        <w:spacing w:line="500" w:lineRule="exact"/>
        <w:ind w:firstLine="480"/>
        <w:jc w:val="left"/>
        <w:rPr>
          <w:rFonts w:hint="eastAsia" w:ascii="宋体" w:hAnsi="宋体" w:eastAsia="宋体" w:cs="宋体"/>
          <w:color w:val="auto"/>
          <w:sz w:val="24"/>
          <w:szCs w:val="24"/>
          <w:highlight w:val="none"/>
          <w:lang w:val="en-US" w:eastAsia="zh-CN"/>
        </w:rPr>
      </w:pPr>
      <w:r>
        <w:rPr>
          <w:rFonts w:hint="eastAsia" w:ascii="宋体" w:hAnsi="宋体" w:cs="宋体"/>
          <w:color w:val="auto"/>
          <w:kern w:val="1"/>
          <w:sz w:val="28"/>
          <w:szCs w:val="28"/>
          <w:highlight w:val="none"/>
          <w:lang w:eastAsia="zh-CN"/>
        </w:rPr>
        <w:t>注：以上证明文件均应加盖比选申请人单位公章。</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2D37EB0"/>
    <w:rsid w:val="03704155"/>
    <w:rsid w:val="03D459D5"/>
    <w:rsid w:val="03F014FB"/>
    <w:rsid w:val="03F36308"/>
    <w:rsid w:val="040F5693"/>
    <w:rsid w:val="045A3333"/>
    <w:rsid w:val="048B68BE"/>
    <w:rsid w:val="04ED380D"/>
    <w:rsid w:val="052A0989"/>
    <w:rsid w:val="05663939"/>
    <w:rsid w:val="05CB22BB"/>
    <w:rsid w:val="05D20B0D"/>
    <w:rsid w:val="06505721"/>
    <w:rsid w:val="066E1DCB"/>
    <w:rsid w:val="0686237C"/>
    <w:rsid w:val="074A53D1"/>
    <w:rsid w:val="07511370"/>
    <w:rsid w:val="07540E19"/>
    <w:rsid w:val="0754600F"/>
    <w:rsid w:val="07E1590B"/>
    <w:rsid w:val="07EB10F5"/>
    <w:rsid w:val="07EF6015"/>
    <w:rsid w:val="083E084B"/>
    <w:rsid w:val="085728AF"/>
    <w:rsid w:val="085E65C9"/>
    <w:rsid w:val="086C0DBE"/>
    <w:rsid w:val="08872182"/>
    <w:rsid w:val="08984829"/>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6B779F"/>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04223F"/>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1D33FCD"/>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2A4F9E"/>
    <w:rsid w:val="3B3F55B8"/>
    <w:rsid w:val="3B44358E"/>
    <w:rsid w:val="3B8B22B1"/>
    <w:rsid w:val="3B8B6671"/>
    <w:rsid w:val="3BB20947"/>
    <w:rsid w:val="3BCD02B3"/>
    <w:rsid w:val="3BCF6241"/>
    <w:rsid w:val="3C00782B"/>
    <w:rsid w:val="3C2D1349"/>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54044A"/>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C43269"/>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A71BD1"/>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AD76C55"/>
    <w:rsid w:val="6B3F31FC"/>
    <w:rsid w:val="6B421B88"/>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9235DE"/>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355807"/>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890A2F"/>
    <w:rsid w:val="779C444B"/>
    <w:rsid w:val="77E410F3"/>
    <w:rsid w:val="786A2E5E"/>
    <w:rsid w:val="78825632"/>
    <w:rsid w:val="78A25EF7"/>
    <w:rsid w:val="78BB6162"/>
    <w:rsid w:val="78F93092"/>
    <w:rsid w:val="79677B15"/>
    <w:rsid w:val="796A38C5"/>
    <w:rsid w:val="79D542E8"/>
    <w:rsid w:val="79E815A7"/>
    <w:rsid w:val="79F40A78"/>
    <w:rsid w:val="7A3731F1"/>
    <w:rsid w:val="7A413658"/>
    <w:rsid w:val="7A610F31"/>
    <w:rsid w:val="7A7D22BB"/>
    <w:rsid w:val="7AAB5D93"/>
    <w:rsid w:val="7ADA324A"/>
    <w:rsid w:val="7ADF3975"/>
    <w:rsid w:val="7AF633E2"/>
    <w:rsid w:val="7B242537"/>
    <w:rsid w:val="7B310FBD"/>
    <w:rsid w:val="7B4E698E"/>
    <w:rsid w:val="7BB53732"/>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A75CB5"/>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link w:val="58"/>
    <w:autoRedefine/>
    <w:qFormat/>
    <w:uiPriority w:val="0"/>
    <w:pPr>
      <w:keepNext/>
      <w:keepLines/>
      <w:spacing w:before="260" w:after="260" w:line="416" w:lineRule="atLeast"/>
      <w:outlineLvl w:val="2"/>
    </w:pPr>
    <w:rPr>
      <w:b/>
      <w:bCs/>
      <w:sz w:val="32"/>
      <w:szCs w:val="32"/>
    </w:rPr>
  </w:style>
  <w:style w:type="character" w:default="1" w:styleId="24">
    <w:name w:val="Default Paragraph Font"/>
    <w:unhideWhenUsed/>
    <w:qFormat/>
    <w:uiPriority w:val="1"/>
  </w:style>
  <w:style w:type="table" w:default="1" w:styleId="22">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Plain Text"/>
    <w:basedOn w:val="1"/>
    <w:qFormat/>
    <w:uiPriority w:val="0"/>
    <w:rPr>
      <w:rFonts w:ascii="宋体" w:hAnsi="Courier New"/>
      <w:szCs w:val="20"/>
    </w:rPr>
  </w:style>
  <w:style w:type="paragraph" w:styleId="1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3">
    <w:name w:val="Balloon Text"/>
    <w:basedOn w:val="1"/>
    <w:link w:val="36"/>
    <w:autoRedefine/>
    <w:unhideWhenUsed/>
    <w:qFormat/>
    <w:uiPriority w:val="99"/>
    <w:rPr>
      <w:sz w:val="18"/>
      <w:szCs w:val="18"/>
    </w:rPr>
  </w:style>
  <w:style w:type="paragraph" w:styleId="14">
    <w:name w:val="footer"/>
    <w:basedOn w:val="1"/>
    <w:link w:val="34"/>
    <w:autoRedefine/>
    <w:unhideWhenUsed/>
    <w:qFormat/>
    <w:uiPriority w:val="99"/>
    <w:pPr>
      <w:tabs>
        <w:tab w:val="center" w:pos="4153"/>
        <w:tab w:val="right" w:pos="8306"/>
      </w:tabs>
      <w:snapToGrid w:val="0"/>
      <w:jc w:val="left"/>
    </w:pPr>
    <w:rPr>
      <w:sz w:val="18"/>
      <w:szCs w:val="18"/>
    </w:rPr>
  </w:style>
  <w:style w:type="paragraph" w:styleId="15">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rPr>
      <w:rFonts w:eastAsia="黑体"/>
      <w:sz w:val="28"/>
    </w:rPr>
  </w:style>
  <w:style w:type="paragraph" w:styleId="17">
    <w:name w:val="Subtitle"/>
    <w:basedOn w:val="1"/>
    <w:next w:val="1"/>
    <w:link w:val="53"/>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autoRedefine/>
    <w:unhideWhenUsed/>
    <w:qFormat/>
    <w:uiPriority w:val="39"/>
    <w:pPr>
      <w:ind w:left="420" w:leftChars="200"/>
    </w:pPr>
  </w:style>
  <w:style w:type="paragraph" w:styleId="1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2"/>
    <w:autoRedefine/>
    <w:qFormat/>
    <w:uiPriority w:val="10"/>
    <w:pPr>
      <w:spacing w:before="60" w:after="60"/>
      <w:jc w:val="center"/>
      <w:outlineLvl w:val="0"/>
    </w:pPr>
    <w:rPr>
      <w:rFonts w:ascii="Cambria" w:hAnsi="Cambria" w:cs="Times New Roman"/>
      <w:b/>
      <w:bCs/>
      <w:szCs w:val="32"/>
    </w:rPr>
  </w:style>
  <w:style w:type="paragraph" w:styleId="21">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autoRedefine/>
    <w:qFormat/>
    <w:uiPriority w:val="0"/>
    <w:rPr>
      <w:b/>
    </w:rPr>
  </w:style>
  <w:style w:type="character" w:styleId="26">
    <w:name w:val="FollowedHyperlink"/>
    <w:basedOn w:val="24"/>
    <w:unhideWhenUsed/>
    <w:qFormat/>
    <w:uiPriority w:val="99"/>
    <w:rPr>
      <w:color w:val="525252"/>
      <w:sz w:val="27"/>
      <w:szCs w:val="27"/>
      <w:u w:val="none"/>
    </w:rPr>
  </w:style>
  <w:style w:type="character" w:styleId="27">
    <w:name w:val="Emphasis"/>
    <w:basedOn w:val="24"/>
    <w:qFormat/>
    <w:uiPriority w:val="20"/>
  </w:style>
  <w:style w:type="character" w:styleId="28">
    <w:name w:val="HTML Definition"/>
    <w:basedOn w:val="24"/>
    <w:autoRedefine/>
    <w:unhideWhenUsed/>
    <w:qFormat/>
    <w:uiPriority w:val="99"/>
  </w:style>
  <w:style w:type="character" w:styleId="29">
    <w:name w:val="HTML Variable"/>
    <w:basedOn w:val="24"/>
    <w:autoRedefine/>
    <w:unhideWhenUsed/>
    <w:qFormat/>
    <w:uiPriority w:val="99"/>
  </w:style>
  <w:style w:type="character" w:styleId="30">
    <w:name w:val="Hyperlink"/>
    <w:basedOn w:val="24"/>
    <w:unhideWhenUsed/>
    <w:qFormat/>
    <w:uiPriority w:val="99"/>
    <w:rPr>
      <w:color w:val="0000FF"/>
      <w:u w:val="single"/>
    </w:rPr>
  </w:style>
  <w:style w:type="character" w:styleId="31">
    <w:name w:val="HTML Code"/>
    <w:basedOn w:val="24"/>
    <w:unhideWhenUsed/>
    <w:qFormat/>
    <w:uiPriority w:val="99"/>
    <w:rPr>
      <w:rFonts w:ascii="Courier New" w:hAnsi="Courier New"/>
      <w:sz w:val="20"/>
    </w:rPr>
  </w:style>
  <w:style w:type="character" w:styleId="32">
    <w:name w:val="HTML Cite"/>
    <w:basedOn w:val="24"/>
    <w:autoRedefine/>
    <w:unhideWhenUsed/>
    <w:qFormat/>
    <w:uiPriority w:val="99"/>
  </w:style>
  <w:style w:type="character" w:customStyle="1" w:styleId="33">
    <w:name w:val="页眉 Char"/>
    <w:basedOn w:val="24"/>
    <w:link w:val="15"/>
    <w:autoRedefine/>
    <w:qFormat/>
    <w:uiPriority w:val="99"/>
    <w:rPr>
      <w:sz w:val="18"/>
      <w:szCs w:val="18"/>
    </w:rPr>
  </w:style>
  <w:style w:type="character" w:customStyle="1" w:styleId="34">
    <w:name w:val="页脚 Char"/>
    <w:basedOn w:val="24"/>
    <w:link w:val="14"/>
    <w:autoRedefine/>
    <w:qFormat/>
    <w:uiPriority w:val="99"/>
    <w:rPr>
      <w:sz w:val="18"/>
      <w:szCs w:val="18"/>
    </w:rPr>
  </w:style>
  <w:style w:type="character" w:customStyle="1" w:styleId="35">
    <w:name w:val="font31"/>
    <w:basedOn w:val="24"/>
    <w:qFormat/>
    <w:uiPriority w:val="0"/>
    <w:rPr>
      <w:rFonts w:hint="eastAsia" w:ascii="宋体" w:hAnsi="宋体" w:eastAsia="宋体" w:cs="宋体"/>
      <w:color w:val="000000"/>
      <w:sz w:val="32"/>
      <w:szCs w:val="32"/>
      <w:u w:val="none"/>
    </w:rPr>
  </w:style>
  <w:style w:type="character" w:customStyle="1" w:styleId="36">
    <w:name w:val="批注框文本 Char"/>
    <w:basedOn w:val="24"/>
    <w:link w:val="13"/>
    <w:semiHidden/>
    <w:qFormat/>
    <w:uiPriority w:val="99"/>
    <w:rPr>
      <w:kern w:val="2"/>
      <w:sz w:val="18"/>
      <w:szCs w:val="18"/>
    </w:rPr>
  </w:style>
  <w:style w:type="paragraph" w:customStyle="1" w:styleId="37">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8">
    <w:name w:val="正文缩进_0"/>
    <w:basedOn w:val="37"/>
    <w:autoRedefine/>
    <w:qFormat/>
    <w:uiPriority w:val="0"/>
    <w:pPr>
      <w:ind w:firstLine="420"/>
    </w:pPr>
    <w:rPr>
      <w:rFonts w:ascii="Calibri" w:hAnsi="Calibri"/>
      <w:kern w:val="2"/>
      <w:sz w:val="21"/>
    </w:rPr>
  </w:style>
  <w:style w:type="paragraph" w:customStyle="1" w:styleId="39">
    <w:name w:val="Normal_3"/>
    <w:qFormat/>
    <w:uiPriority w:val="0"/>
    <w:rPr>
      <w:rFonts w:ascii="黑体" w:hAnsi="黑体" w:eastAsia="黑体" w:cs="Times New Roman"/>
      <w:b/>
      <w:sz w:val="32"/>
      <w:szCs w:val="24"/>
      <w:lang w:val="en-US" w:eastAsia="zh-CN" w:bidi="ar-SA"/>
    </w:rPr>
  </w:style>
  <w:style w:type="paragraph" w:customStyle="1" w:styleId="40">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1">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0_0"/>
    <w:basedOn w:val="44"/>
    <w:autoRedefine/>
    <w:qFormat/>
    <w:uiPriority w:val="0"/>
    <w:pPr>
      <w:widowControl/>
      <w:ind w:firstLine="420"/>
      <w:jc w:val="left"/>
    </w:pPr>
    <w:rPr>
      <w:rFonts w:ascii="Times New Roman" w:hAnsi="Times New Roman"/>
      <w:sz w:val="20"/>
      <w:szCs w:val="24"/>
    </w:rPr>
  </w:style>
  <w:style w:type="paragraph" w:customStyle="1" w:styleId="44">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5">
    <w:name w:val="Normal_5"/>
    <w:autoRedefine/>
    <w:qFormat/>
    <w:uiPriority w:val="0"/>
    <w:rPr>
      <w:rFonts w:ascii="黑体" w:hAnsi="黑体" w:eastAsia="黑体" w:cs="Times New Roman"/>
      <w:b/>
      <w:sz w:val="32"/>
      <w:szCs w:val="24"/>
      <w:lang w:val="en-US" w:eastAsia="zh-CN" w:bidi="ar-SA"/>
    </w:rPr>
  </w:style>
  <w:style w:type="paragraph" w:customStyle="1" w:styleId="46">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正文缩进_2"/>
    <w:basedOn w:val="46"/>
    <w:autoRedefine/>
    <w:qFormat/>
    <w:uiPriority w:val="0"/>
    <w:pPr>
      <w:widowControl/>
      <w:ind w:firstLine="420"/>
      <w:jc w:val="left"/>
    </w:pPr>
    <w:rPr>
      <w:rFonts w:ascii="Times New Roman" w:hAnsi="Times New Roman"/>
      <w:sz w:val="20"/>
      <w:szCs w:val="24"/>
    </w:rPr>
  </w:style>
  <w:style w:type="character" w:customStyle="1" w:styleId="48">
    <w:name w:val="hover5"/>
    <w:basedOn w:val="24"/>
    <w:autoRedefine/>
    <w:qFormat/>
    <w:uiPriority w:val="0"/>
  </w:style>
  <w:style w:type="paragraph" w:customStyle="1" w:styleId="49">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50">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1">
    <w:name w:val="p0"/>
    <w:basedOn w:val="1"/>
    <w:autoRedefine/>
    <w:qFormat/>
    <w:uiPriority w:val="0"/>
    <w:pPr>
      <w:jc w:val="both"/>
    </w:pPr>
    <w:rPr>
      <w:rFonts w:ascii="Times New Roman" w:hAnsi="Times New Roman" w:cs="Times New Roman"/>
      <w:sz w:val="21"/>
      <w:szCs w:val="21"/>
    </w:rPr>
  </w:style>
  <w:style w:type="character" w:customStyle="1" w:styleId="52">
    <w:name w:val="标题 Char"/>
    <w:link w:val="20"/>
    <w:autoRedefine/>
    <w:qFormat/>
    <w:uiPriority w:val="10"/>
    <w:rPr>
      <w:rFonts w:ascii="Cambria" w:hAnsi="Cambria" w:cs="Times New Roman"/>
      <w:b/>
      <w:bCs/>
      <w:szCs w:val="32"/>
    </w:rPr>
  </w:style>
  <w:style w:type="character" w:customStyle="1" w:styleId="53">
    <w:name w:val="副标题 Char"/>
    <w:link w:val="17"/>
    <w:autoRedefine/>
    <w:qFormat/>
    <w:uiPriority w:val="11"/>
    <w:rPr>
      <w:rFonts w:ascii="Calibri Light" w:hAnsi="Calibri Light" w:cs="Times New Roman"/>
      <w:b/>
      <w:bCs/>
      <w:kern w:val="28"/>
      <w:sz w:val="32"/>
      <w:szCs w:val="32"/>
    </w:rPr>
  </w:style>
  <w:style w:type="paragraph" w:customStyle="1" w:styleId="54">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5">
    <w:name w:val="表格文字"/>
    <w:basedOn w:val="1"/>
    <w:qFormat/>
    <w:uiPriority w:val="99"/>
    <w:pPr>
      <w:spacing w:before="25" w:after="25"/>
      <w:jc w:val="left"/>
    </w:pPr>
    <w:rPr>
      <w:bCs/>
      <w:spacing w:val="10"/>
      <w:kern w:val="0"/>
      <w:sz w:val="24"/>
    </w:rPr>
  </w:style>
  <w:style w:type="paragraph" w:customStyle="1" w:styleId="56">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7">
    <w:name w:val="样式3"/>
    <w:basedOn w:val="11"/>
    <w:qFormat/>
    <w:uiPriority w:val="0"/>
    <w:pPr>
      <w:spacing w:line="0" w:lineRule="atLeast"/>
      <w:outlineLvl w:val="0"/>
    </w:pPr>
    <w:rPr>
      <w:sz w:val="28"/>
    </w:rPr>
  </w:style>
  <w:style w:type="character" w:customStyle="1" w:styleId="58">
    <w:name w:val="标题 3 Char"/>
    <w:link w:val="4"/>
    <w:qFormat/>
    <w:uiPriority w:val="0"/>
    <w:rPr>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6955</Words>
  <Characters>7322</Characters>
  <Lines>16</Lines>
  <Paragraphs>4</Paragraphs>
  <TotalTime>9</TotalTime>
  <ScaleCrop>false</ScaleCrop>
  <LinksUpToDate>false</LinksUpToDate>
  <CharactersWithSpaces>7883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2024-09-09T02:49:00Z</cp:lastPrinted>
  <dcterms:modified xsi:type="dcterms:W3CDTF">2024-09-09T03:13:00Z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BDDD23D167224E369B19F7E47A015E3A_13</vt:lpwstr>
  </property>
</Properties>
</file>